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Processo 2 — Unidades de controle de seguidores (TCU) · NCM 8479.90.90 (BK)</w:t>
      </w:r>
    </w:p>
    <w:p>
      <w:r>
        <w:rPr>
          <w:b/>
        </w:rPr>
        <w:t>Fabricante:</w:t>
      </w:r>
      <w:r>
        <w:t xml:space="preserve"> IED (Espanha) · </w:t>
      </w:r>
      <w:r>
        <w:rPr>
          <w:b/>
        </w:rPr>
        <w:t>II atual:</w:t>
      </w:r>
      <w:r>
        <w:t xml:space="preserve"> 14% (BK) · </w:t>
      </w:r>
      <w:r>
        <w:rPr>
          <w:b/>
        </w:rPr>
        <w:t>Alíquota pleiteada:</w:t>
      </w:r>
      <w:r>
        <w:t xml:space="preserve"> 0% (Ex-tarifário, Res. Gecex 512/2023) </w:t>
      </w:r>
      <w:r>
        <w:rPr>
          <w:b/>
        </w:rPr>
        <w:t>Valor anual de importação:</w:t>
      </w:r>
      <w:r>
        <w:t xml:space="preserve"> R$ 2,76 mi (ano 1) · R$ 10,6 mi (ano n) · </w:t>
      </w:r>
      <w:r>
        <w:rPr>
          <w:b/>
        </w:rPr>
        <w:t>Precedente:</w:t>
      </w:r>
      <w:r>
        <w:t xml:space="preserve"> Ex 403 (8479.90.90, "Unidades de controle para seguidor solar"), vigente até 31/03/2026, não renovado </w:t>
      </w:r>
      <w:r>
        <w:rPr>
          <w:b/>
        </w:rPr>
        <w:t>Veredito do relatório de 01/09:</w:t>
      </w:r>
      <w:r>
        <w:t xml:space="preserve"> elegível, </w:t>
      </w:r>
      <w:r>
        <w:rPr>
          <w:b/>
        </w:rPr>
        <w:t>condicionado a fixar a NCM</w:t>
      </w:r>
      <w:r>
        <w:t>.</w:t>
      </w:r>
    </w:p>
    <w:p>
      <w:pPr>
        <w:pStyle w:val="Heading2"/>
      </w:pPr>
      <w:r>
        <w:rPr>
          <w:color w:val="0E4F63"/>
        </w:rPr>
        <w:t>Decisão de NCM (regra aplicada neste pacote)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Opção</w:t>
            </w:r>
          </w:p>
        </w:tc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NCM</w:t>
            </w:r>
          </w:p>
        </w:tc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Categoria / II</w:t>
            </w:r>
          </w:p>
        </w:tc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Prós</w:t>
            </w:r>
          </w:p>
        </w:tc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Contras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sz w:val="18"/>
              </w:rPr>
              <w:t>Padrão (adotada aqui)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8479.90.90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BK · 14%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Precedente Ex 403 prova que o MDIC já aceitou a TCU como parte de seguidor; classificação coerente com a SC COSIT 98011/2021 (seguidor = 8479.89.99, partes = 8479.90.90)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Exige que a memória e a carta de 20/08 (que passaram para 8517.62.59) sejam reemitidas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Alternativa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8517.62.59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BIT · 20%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Defensável para uma unidade com Zigbee/RS485/BLE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Abre mão do precedente Ex 403; erro de classificação na DI gera multa de 1% do valor aduaneiro (art. 711 do Regulamento Aduaneiro) e perda do Ex</w:t>
            </w:r>
          </w:p>
        </w:tc>
      </w:tr>
    </w:tbl>
    <w:p/>
    <w:p>
      <w:r>
        <w:rPr>
          <w:b/>
        </w:rPr>
        <w:t>Regra:</w:t>
      </w:r>
      <w:r>
        <w:t xml:space="preserve"> sem </w:t>
      </w:r>
      <w:r>
        <w:rPr>
          <w:b/>
        </w:rPr>
        <w:t>parecer de classificação fiscal contrário</w:t>
      </w:r>
      <w:r>
        <w:t xml:space="preserve"> do despachante (Raimundo Nascimento — Marear / Emerson Oliveira — PlanetaComex), fica 8479.90.90. Se o parecer indicar 8517.62.59, trocar NCM, categoria e alíquota em </w:t>
      </w:r>
      <w:r>
        <w:rPr>
          <w:b/>
        </w:rPr>
        <w:t>todos</w:t>
      </w:r>
      <w:r>
        <w:t xml:space="preserve"> os arquivos desta pasta (00, 05, 07, 08 e proforma) antes do protocolo. Recomendado protocolar em paralelo Solução de Consulta de classificação na RFB, dado o valor envolvido.</w:t>
      </w:r>
    </w:p>
    <w:p>
      <w:pPr>
        <w:pStyle w:val="Heading2"/>
      </w:pPr>
      <w:r>
        <w:rPr>
          <w:color w:val="0E4F63"/>
        </w:rPr>
        <w:t>Conjunto de anexos deste processo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Arquivo final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Fonte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TCU_00_Formulario_Pleito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00-formulario-pleito.md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Pronto (NCM 8479.90.90, BK, 14%)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TCU_01_Catalogo_Fabricante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01-catalogo-fabricante-INSTRUCOES.md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AJUSTAR</w:t>
            </w:r>
            <w:r>
              <w:rPr>
                <w:sz w:val="18"/>
              </w:rPr>
              <w:t xml:space="preserve"> — datasheet do fabricante em espanhol; traduzir (Factiun, 08/09)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TCU_03_Fatura_Proforma_e_Traducao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03-proforma-MODELO.md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— o dossiê tem fatura real (SI26-0666, 2 un., EXW Navarra, IVA 21%); emitir proforma nova (Factiun compras, 08/09)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TCU_04_Procuracao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../comum/04-procuracao-NOTA.md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OK — renomear arquivo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TCU_04b_Contrato_Social_Consolidado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../comum/04b-...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1ª e 2ª alterações (Factiun, 05/09)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TCU_04c_Cartao_CNPJ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../comum/04c-...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Conferir endereço; regerar nato-digital (Videl, 03/09)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TCU_05_Memoria_Descritiva_Tecnica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05-memoria-descritiva-tecnica.md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Rev. 02: sem marca, NCM 8479.90.90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TCU_06_Projeto_de_Investimento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../comum/06-projeto-de-investimento.md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Pronto; preencher MWh do PVsyst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TCU_07_Declaracao_Usuario_Final_e_Anexo_PVsyst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07-declaracao-usuario-final.md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../comum/09-...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assinatura BCP + PVsyst (09/09)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TCU_08_Carta_Justificativa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08-carta-justificativa.md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Texto corrigido; </w:t>
            </w:r>
            <w:r>
              <w:rPr>
                <w:b/>
                <w:sz w:val="18"/>
              </w:rPr>
              <w:t>reassinar</w:t>
            </w:r>
            <w:r>
              <w:rPr>
                <w:sz w:val="18"/>
              </w:rPr>
              <w:t xml:space="preserve"> (Tony, 08/09)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TCU_10_Atestado_ABIMAQ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../comum/10-...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Solicitar (Videl, 15/09)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TCU_11_Laudo_Tecnico_CREA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../comum/11-...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Opcional para a TCU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