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Ex-Tarifário Factiun Sun BR — Pacote de protocolo (1ª onda)</w:t>
      </w:r>
    </w:p>
    <w:p>
      <w:r>
        <w:rPr>
          <w:b/>
        </w:rPr>
        <w:t>Pleiteante:</w:t>
      </w:r>
      <w:r>
        <w:t xml:space="preserve"> Factiun Sun BR Ltda · CNPJ 64.947.469/0001-15 </w:t>
      </w:r>
      <w:r>
        <w:rPr>
          <w:b/>
        </w:rPr>
        <w:t>Consultora / procurador SEI:</w:t>
      </w:r>
      <w:r>
        <w:t xml:space="preserve"> Videl T&amp;L · Gearlison da Silva Caires </w:t>
      </w:r>
      <w:r>
        <w:rPr>
          <w:b/>
        </w:rPr>
        <w:t>Base:</w:t>
      </w:r>
      <w:r>
        <w:t xml:space="preserve"> </w:t>
      </w:r>
      <w:r>
        <w:rPr>
          <w:rFonts w:ascii="Consolas" w:hAnsi="Consolas"/>
          <w:sz w:val="18"/>
        </w:rPr>
        <w:t>docs/ex-tarifario-factiun-relatorio-2026-09-01.md</w:t>
      </w:r>
      <w:r>
        <w:t xml:space="preserve"> (relatório de análise de 01/09/2026) </w:t>
      </w:r>
      <w:r>
        <w:rPr>
          <w:b/>
        </w:rPr>
        <w:t>Gerado em:</w:t>
      </w:r>
      <w:r>
        <w:t xml:space="preserve"> 02/09/2026</w:t>
      </w:r>
    </w:p>
    <w:p>
      <w:pPr>
        <w:pStyle w:val="Heading2"/>
      </w:pPr>
      <w:r>
        <w:rPr>
          <w:color w:val="0E4F63"/>
        </w:rPr>
        <w:t>Estrutura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Pasta / arquivo</w:t>
            </w:r>
          </w:p>
        </w:tc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amortecedor/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Processo 1 — Amortecedores hidráulicos, NCM 8479.90.90 (BK, II 14%)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tcu/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Processo 2 — Unidades de controle de seguidores (TCU), NCM 8479.90.90 (BK, II 14%), salvo parecer contrário do despachante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comum/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Documentos idênticos nos dois processos (procuração, societário, CNPJ, projeto de investimento, PVsyst, ABIMAQ, laudo CREA, consultas a fabricantes)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substancia-checklist-protocolo-sei.md</w:t>
            </w:r>
            <w:r>
              <w:rPr>
                <w:sz w:val="18"/>
              </w:rPr>
              <w:t xml:space="preserve"> (+ .docx / .pdf)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Guia passo a passo para os despachantes (Marear / PlanetaComex) protocolarem no SEI/ColaboraGov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memorando-factiun-2026-09-02.md</w:t>
            </w:r>
            <w:r>
              <w:rPr>
                <w:sz w:val="18"/>
              </w:rPr>
              <w:t xml:space="preserve"> (+ .docx / .pdf)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Ofício à Factiun com as correções aplicadas e as pendências com prazo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dashboard-ex-tariff-factiun.html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Painel em inglês para a Factiun acompanhar o processo (abre em qualquer navegador)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_build/build_docs.py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Regera os .docx e .pdf a partir dos .md</w:t>
            </w:r>
          </w:p>
        </w:tc>
      </w:tr>
    </w:tbl>
    <w:p/>
    <w:p>
      <w:pPr>
        <w:pStyle w:val="Heading2"/>
      </w:pPr>
      <w:r>
        <w:rPr>
          <w:color w:val="0E4F63"/>
        </w:rPr>
        <w:t>Regras que valem para todos os arquivos</w:t>
      </w:r>
    </w:p>
    <w:p>
      <w:pPr>
        <w:pStyle w:val="ListNumber"/>
        <w:ind w:left="340"/>
      </w:pPr>
      <w:r>
        <w:rPr>
          <w:b/>
        </w:rPr>
        <w:t>Um processo por NCM.</w:t>
      </w:r>
      <w:r>
        <w:t xml:space="preserve"> Amortecedor e TCU são dois peticionamentos separados, cada um com seu conjunto completo de anexos.</w:t>
      </w:r>
    </w:p>
    <w:p>
      <w:pPr>
        <w:pStyle w:val="ListNumber"/>
        <w:ind w:left="340"/>
      </w:pPr>
      <w:r>
        <w:rPr>
          <w:b/>
        </w:rPr>
        <w:t>Um PDF por documento</w:t>
      </w:r>
      <w:r>
        <w:t>, pesquisável (texto selecionável), sem comentários ou controle de alterações, ≤ 30 MB, em português (documento estrangeiro acompanhado de tradução simples).</w:t>
      </w:r>
    </w:p>
    <w:p>
      <w:pPr>
        <w:pStyle w:val="ListNumber"/>
        <w:ind w:left="340"/>
      </w:pPr>
      <w:r>
        <w:rPr>
          <w:b/>
        </w:rPr>
        <w:t>O catálogo do fabricante vai sozinho</w:t>
      </w:r>
      <w:r>
        <w:t xml:space="preserve"> no campo próprio: ele é publicado na íntegra na consulta pública. Nunca juntar proforma, contrato social ou projeto de investimento no mesmo PDF do catálogo.</w:t>
      </w:r>
    </w:p>
    <w:p>
      <w:pPr>
        <w:pStyle w:val="ListNumber"/>
        <w:ind w:left="340"/>
      </w:pPr>
      <w:r>
        <w:rPr>
          <w:b/>
        </w:rPr>
        <w:t>Mesma NCM em todos os documentos do processo</w:t>
      </w:r>
      <w:r>
        <w:t xml:space="preserve"> (ficha, memória, carta, declaração de usuário final, proforma, formulário eletrônico).</w:t>
      </w:r>
    </w:p>
    <w:p>
      <w:pPr>
        <w:pStyle w:val="ListNumber"/>
        <w:ind w:left="340"/>
      </w:pPr>
      <w:r>
        <w:rPr>
          <w:b/>
        </w:rPr>
        <w:t>Sem marca ou modelo</w:t>
      </w:r>
      <w:r>
        <w:t xml:space="preserve"> na descrição do Ex pretendido. Plural, parâmetros numéricos verificáveis no catálogo.</w:t>
      </w:r>
    </w:p>
    <w:p>
      <w:pPr>
        <w:pStyle w:val="ListNumber"/>
        <w:ind w:left="340"/>
      </w:pPr>
      <w:r>
        <w:t xml:space="preserve">Campos entre colchetes </w:t>
      </w:r>
      <w:r>
        <w:rPr>
          <w:rFonts w:ascii="Consolas" w:hAnsi="Consolas"/>
          <w:sz w:val="18"/>
        </w:rPr>
        <w:t>[ ]</w:t>
      </w:r>
      <w:r>
        <w:t xml:space="preserve"> são lacunas que dependem de informação ainda não recebida (quantidades das proformas, número do processo, datas de assinatura). Não protocolar com colchetes.</w:t>
      </w:r>
    </w:p>
    <w:p>
      <w:pPr>
        <w:pStyle w:val="Heading2"/>
      </w:pPr>
      <w:r>
        <w:rPr>
          <w:color w:val="0E4F63"/>
        </w:rPr>
        <w:t>Nomenclatura dos PDFs finais (para upload no SEI)</w:t>
      </w:r>
    </w:p>
    <w:p>
      <w:r>
        <w:rPr>
          <w:rFonts w:ascii="Consolas" w:hAnsi="Consolas"/>
          <w:sz w:val="17"/>
        </w:rPr>
        <w:t>&lt;processo&gt;_00_Formulario_Pleito_FactiunSunBR.pdf        (referência; o formulário real é preenchido dentro do SEI)</w:t>
        <w:br/>
        <w:t>&lt;processo&gt;_01_Catalogo_Fabricante.pdf                    (anexo separado)</w:t>
        <w:br/>
        <w:t>&lt;processo&gt;_03_Fatura_Proforma_e_Traducao.pdf</w:t>
        <w:br/>
        <w:t>&lt;processo&gt;_04_Procuracao.pdf</w:t>
        <w:br/>
        <w:t>&lt;processo&gt;_04b_Contrato_Social_Consolidado.pdf</w:t>
        <w:br/>
        <w:t>&lt;processo&gt;_04c_Cartao_CNPJ.pdf</w:t>
        <w:br/>
        <w:t>&lt;processo&gt;_05_Memoria_Descritiva_Tecnica.pdf</w:t>
        <w:br/>
        <w:t>&lt;processo&gt;_06_Projeto_de_Investimento.pdf</w:t>
        <w:br/>
        <w:t>&lt;processo&gt;_07_Declaracao_Usuario_Final_e_Anexo_PVsyst.pdf</w:t>
        <w:br/>
        <w:t>&lt;processo&gt;_08_Carta_Justificativa.pdf</w:t>
        <w:br/>
        <w:t>&lt;processo&gt;_10_Atestado_ABIMAQ.pdf                        (se obtido antes do protocolo)</w:t>
        <w:br/>
        <w:t>&lt;processo&gt;_11_Laudo_Tecnico_CREA.pdf                     (recomendado; pode ser juntado por intercorrente antes da CP)</w:t>
      </w:r>
    </w:p>
    <w:p>
      <w:r>
        <w:rPr>
          <w:rFonts w:ascii="Consolas" w:hAnsi="Consolas"/>
          <w:sz w:val="18"/>
        </w:rPr>
        <w:t>&lt;processo&gt;</w:t>
      </w:r>
      <w:r>
        <w:t xml:space="preserve"> = </w:t>
      </w:r>
      <w:r>
        <w:rPr>
          <w:rFonts w:ascii="Consolas" w:hAnsi="Consolas"/>
          <w:sz w:val="18"/>
        </w:rPr>
        <w:t>AMORT</w:t>
      </w:r>
      <w:r>
        <w:t xml:space="preserve"> ou </w:t>
      </w:r>
      <w:r>
        <w:rPr>
          <w:rFonts w:ascii="Consolas" w:hAnsi="Consolas"/>
          <w:sz w:val="18"/>
        </w:rPr>
        <w:t>TCU</w:t>
      </w:r>
      <w:r>
        <w:t>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