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01 — Catálogo original do fabricante (XSD Industrial) — instruções</w:t>
      </w:r>
    </w:p>
    <w:p>
      <w:r>
        <w:rPr>
          <w:b/>
        </w:rPr>
        <w:t>Situação em 02/09:</w:t>
      </w:r>
      <w:r>
        <w:t xml:space="preserve"> o dossiê só contém o "Item Data Sheet" elaborado pela Factiun. </w:t>
      </w:r>
      <w:r>
        <w:rPr>
          <w:b/>
        </w:rPr>
        <w:t>Não há catálogo do fabricante.</w:t>
      </w:r>
      <w:r>
        <w:t xml:space="preserve"> Sem ele, os parâmetros da descrição (3.300–8.650 N, 381 mm, 20 kN, -20/+60 °C, ASTM B117) não têm lastro, e o MDIC pode devolver o pleito.</w:t>
      </w:r>
    </w:p>
    <w:p>
      <w:pPr>
        <w:pStyle w:val="Heading2"/>
      </w:pPr>
      <w:r>
        <w:rPr>
          <w:color w:val="0E4F63"/>
        </w:rPr>
        <w:t>O que pedir à XSD (via Factiun — Iñigo Bonilla), até 08/09</w:t>
      </w:r>
    </w:p>
    <w:p>
      <w:pPr>
        <w:pStyle w:val="ListNumber"/>
        <w:ind w:left="340"/>
      </w:pPr>
      <w:r>
        <w:rPr>
          <w:b/>
        </w:rPr>
        <w:t>Catálogo ou datasheet oficial</w:t>
      </w:r>
      <w:r>
        <w:t xml:space="preserve"> do modelo de amortecedor fornecido, em PDF nativo (texto selecionável), com logotipo e identificação do fabricante.</w:t>
      </w:r>
    </w:p>
    <w:p>
      <w:pPr>
        <w:pStyle w:val="ListNumber"/>
        <w:ind w:left="340"/>
      </w:pPr>
      <w:r>
        <w:t xml:space="preserve">O documento precisa mostrar, de forma verificável, </w:t>
      </w:r>
      <w:r>
        <w:rPr>
          <w:b/>
        </w:rPr>
        <w:t>cada parâmetro</w:t>
      </w:r>
      <w:r>
        <w:t xml:space="preserve"> usado na descrição:</w:t>
      </w:r>
    </w:p>
    <w:p>
      <w:pPr>
        <w:pStyle w:val="ListBullet"/>
        <w:ind w:left="680"/>
      </w:pPr>
      <w:r>
        <w:t>força de amortecimento (faixa 3.300 a 8.650 N)</w:t>
      </w:r>
    </w:p>
    <w:p>
      <w:pPr>
        <w:pStyle w:val="ListBullet"/>
        <w:ind w:left="680"/>
      </w:pPr>
      <w:r>
        <w:t>curso nominal (381 mm)</w:t>
      </w:r>
    </w:p>
    <w:p>
      <w:pPr>
        <w:pStyle w:val="ListBullet"/>
        <w:ind w:left="680"/>
      </w:pPr>
      <w:r>
        <w:t>resistência à tração (≥ 20 kN)</w:t>
      </w:r>
    </w:p>
    <w:p>
      <w:pPr>
        <w:pStyle w:val="ListBullet"/>
        <w:ind w:left="680"/>
      </w:pPr>
      <w:r>
        <w:t>faixa de temperatura de operação (-20 °C a +60 °C)</w:t>
      </w:r>
    </w:p>
    <w:p>
      <w:pPr>
        <w:pStyle w:val="ListBullet"/>
        <w:ind w:left="680"/>
      </w:pPr>
      <w:r>
        <w:t>ensaio de névoa salina conforme ASTM B117 (horas de ensaio)</w:t>
      </w:r>
    </w:p>
    <w:p>
      <w:pPr>
        <w:pStyle w:val="ListBullet"/>
        <w:ind w:left="680"/>
      </w:pPr>
      <w:r>
        <w:t>vida útil (2 milhões de ciclos), se constar</w:t>
      </w:r>
    </w:p>
    <w:p>
      <w:pPr>
        <w:pStyle w:val="ListNumber"/>
        <w:ind w:left="340"/>
      </w:pPr>
      <w:r>
        <w:t xml:space="preserve">Se o catálogo estiver em inglês ou chinês: </w:t>
      </w:r>
      <w:r>
        <w:rPr>
          <w:b/>
        </w:rPr>
        <w:t>tradução simples para o português</w:t>
      </w:r>
      <w:r>
        <w:t xml:space="preserve"> (não precisa ser juramentada), em PDF separado ou anexada ao final do mesmo PDF.</w:t>
      </w:r>
    </w:p>
    <w:p>
      <w:pPr>
        <w:pStyle w:val="Heading2"/>
      </w:pPr>
      <w:r>
        <w:rPr>
          <w:color w:val="0E4F63"/>
        </w:rPr>
        <w:t>Como anexar no SEI</w:t>
      </w:r>
    </w:p>
    <w:p>
      <w:pPr>
        <w:pStyle w:val="ListBullet"/>
        <w:ind w:left="340"/>
      </w:pPr>
      <w:r>
        <w:rPr>
          <w:rFonts w:ascii="Consolas" w:hAnsi="Consolas"/>
          <w:sz w:val="18"/>
        </w:rPr>
        <w:t>AMORT_01_Catalogo_Fabricante.pdf</w:t>
      </w:r>
      <w:r>
        <w:t xml:space="preserve"> — </w:t>
      </w:r>
      <w:r>
        <w:rPr>
          <w:b/>
        </w:rPr>
        <w:t>sozinho</w:t>
      </w:r>
      <w:r>
        <w:t xml:space="preserve"> no campo de catálogo. É publicado na íntegra na consulta pública.</w:t>
      </w:r>
    </w:p>
    <w:p>
      <w:pPr>
        <w:pStyle w:val="ListBullet"/>
        <w:ind w:left="340"/>
      </w:pPr>
      <w:r>
        <w:t xml:space="preserve">O "Item Data Sheet" da Factiun </w:t>
      </w:r>
      <w:r>
        <w:rPr>
          <w:b/>
        </w:rPr>
        <w:t>não substitui</w:t>
      </w:r>
      <w:r>
        <w:t xml:space="preserve"> o catálogo; pode ser mantido como apêndice da memória técnica (doc. 05).</w:t>
      </w:r>
    </w:p>
    <w:p>
      <w:pPr>
        <w:pStyle w:val="ListBullet"/>
        <w:ind w:left="340"/>
      </w:pPr>
      <w:r>
        <w:t>Se o fabricante só tiver imagem, aplicar OCR e conferir que o texto ficou selecionável. ≤ 30 MB.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