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06 — Projeto de Investimento (art. 4º, § 3º, Res. Gecex nº 512/2023)</w:t>
      </w:r>
    </w:p>
    <w:p>
      <w:r>
        <w:rPr>
          <w:b/>
        </w:rPr>
        <w:t>Pleiteante:</w:t>
      </w:r>
      <w:r>
        <w:t xml:space="preserve"> Factiun Sun BR Ltda · CNPJ 64.947.469/0001-15 </w:t>
      </w:r>
      <w:r>
        <w:rPr>
          <w:b/>
        </w:rPr>
        <w:t>Versão:</w:t>
      </w:r>
      <w:r>
        <w:t xml:space="preserve"> revisão de consistência de 02/09/2026 sobre a versão de 15 páginas entregue pela Factiun (business plan) </w:t>
      </w:r>
      <w:r>
        <w:rPr>
          <w:b/>
        </w:rPr>
        <w:t>Uso:</w:t>
      </w:r>
      <w:r>
        <w:t xml:space="preserve"> gerar </w:t>
      </w:r>
      <w:r>
        <w:rPr>
          <w:b/>
        </w:rPr>
        <w:t>um único PDF</w:t>
      </w:r>
      <w:r>
        <w:t>, idêntico, anexado em todos os processos (Amortecedor e TCU na 1ª onda; Painel dedicado e Sistema de Giro na 2ª onda, se houver)</w:t>
      </w:r>
    </w:p>
    <w:p>
      <w:pPr>
        <w:ind w:left="454"/>
      </w:pPr>
      <w:r>
        <w:rPr>
          <w:color w:val="4A5A68"/>
        </w:rPr>
        <w:t>Esta versão condensa a estrutura obrigatória e os números do projeto. O texto integral de 15 páginas (receita, insumos, capex, mão de obra, cronograma) permanece válido; o que se corrige aqui são os pontos de consistência listados na seção 6.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1. Identificação do pleiteante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Razão social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Factiun Sun BR Ltda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CNPJ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64.947.469/0001-15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NIRE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31217517922 (JUCEMG, 04/02/2026)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Sede e fábrica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Rua dos Franciscanos, Galpão 8, Loteamento Dom Avelar, Pirajá, Salvador-BA, CEP 41.315-000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Capital social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R$ 500.000,00 — Factiun Sun S.L. (90%) · Lamenha Participações (10%)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Regime tributário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Lucro real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Representante legal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Tony Wellington Lamenha Lins · CPF 081.907.294-03 · twlamenha@factiun.com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Procurador (usuário externo SEI)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Gearlison da Silva Caires (Videl T&amp;L) · procuração de 21/08/2026, validade 12 meses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Atividade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Integração e montagem de seguidores solares (trackers) Factiun TRX na unidade de Salvador-BA</w:t>
            </w:r>
          </w:p>
        </w:tc>
      </w:tr>
    </w:tbl>
    <w:p/>
    <w:p>
      <w:pPr>
        <w:pStyle w:val="Heading2"/>
      </w:pPr>
      <w:r>
        <w:rPr>
          <w:color w:val="0E4F63"/>
        </w:rPr>
        <w:t>2. Descrição dos bens objeto dos pleitos (um processo por NCM)</w:t>
      </w:r>
    </w:p>
    <w:p>
      <w:pPr>
        <w:pStyle w:val="Heading3"/>
      </w:pPr>
      <w:r>
        <w:rPr>
          <w:color w:val="0E4F63"/>
        </w:rPr>
        <w:t>2.1 Processo 1 — Amortecedores hidráulicos · NCM 8479.90.90 (BK) · II atual 14%</w:t>
      </w:r>
    </w:p>
    <w:p>
      <w:r>
        <w:t xml:space="preserve">Fabricante: XSD Industrial (China). Descrição pleiteada: </w:t>
      </w:r>
      <w:r>
        <w:rPr>
          <w:i/>
        </w:rPr>
        <w:t>"Amortecedores hidráulicos para seguidores solares fotovoltaicos, com força de amortecimento entre 3.300 e 8.650 N, curso nominal de 381 mm, resistência mínima à tração de 20 kN, faixa de operação de -20 °C a +60 °C e revestimento anticorrosivo ensaiado em névoa salina conforme ASTM B117, destinados à mitigação de vibrações estruturais induzidas pelo vento."</w:t>
      </w:r>
    </w:p>
    <w:p>
      <w:pPr>
        <w:pStyle w:val="Heading3"/>
      </w:pPr>
      <w:r>
        <w:rPr>
          <w:color w:val="0E4F63"/>
        </w:rPr>
        <w:t>2.2 Processo 2 — Unidades de controle de seguidores (TCU) · NCM 8479.90.90 (BK) · II atual 14%</w:t>
      </w:r>
    </w:p>
    <w:p>
      <w:r>
        <w:t xml:space="preserve">Fabricante: IED (Espanha). Descrição pleiteada: </w:t>
      </w:r>
      <w:r>
        <w:rPr>
          <w:i/>
        </w:rPr>
        <w:t>"Unidades eletrônicas de controle de seguidores solares fotovoltaicos, com algoritmos integrados de rastreamento solar e de backtracking para terrenos inclinados, comunicação sem fio Zigbee e Bluetooth Low Energy e serial RS485, atualização remota de firmware, grau de proteção IP65/NEMA 3R, conforme IEC 62817, destinadas à gestão e ao acionamento de uma ou mais fileiras de seguidores."</w:t>
      </w:r>
      <w:r>
        <w:t xml:space="preserve"> Precedente: Ex 403 (8479.90.90, "Unidades de controle para seguidor solar"), vigente até 31/03/2026. </w:t>
      </w:r>
      <w:r>
        <w:rPr>
          <w:i/>
        </w:rPr>
        <w:t>Nota: a NCM 8479.90.90 é a adotada por padrão; se o parecer de classificação do despachante indicar 8517.62.59 (BIT, II 20%), substituir a NCM e a categoria em todos os documentos deste processo antes do protocolo.</w:t>
      </w:r>
    </w:p>
    <w:p>
      <w:pPr>
        <w:pStyle w:val="Heading3"/>
      </w:pPr>
      <w:r>
        <w:rPr>
          <w:color w:val="0E4F63"/>
        </w:rPr>
        <w:t>2.3 Bens fora da 1ª onda (citados apenas para contexto do projeto)</w:t>
      </w:r>
    </w:p>
    <w:p>
      <w:pPr>
        <w:pStyle w:val="ListBullet"/>
        <w:ind w:left="340"/>
      </w:pPr>
      <w:r>
        <w:t>Módulos fotovoltaicos dedicados de 45 W (Sunpro, China) — 8479.90.90 como parte do seguidor — 2ª onda, após parecer de classificação.</w:t>
      </w:r>
    </w:p>
    <w:p>
      <w:pPr>
        <w:pStyle w:val="ListBullet"/>
        <w:ind w:left="340"/>
      </w:pPr>
      <w:r>
        <w:t>Sistema de giro (Youju, China) — 8483.40.10 — somente para o que o Ex 454 vigente (até 31/12/2027) não cobrir.</w:t>
      </w:r>
    </w:p>
    <w:p>
      <w:pPr>
        <w:pStyle w:val="ListBullet"/>
        <w:ind w:left="340"/>
      </w:pPr>
      <w:r>
        <w:t xml:space="preserve">Mancal / conjunto de rolamentos — 8479.90.90 — </w:t>
      </w:r>
      <w:r>
        <w:rPr>
          <w:b/>
        </w:rPr>
        <w:t>retirado do pleito</w:t>
      </w:r>
      <w:r>
        <w:t xml:space="preserve"> (fabricante nacional declarado: MTR Solar/Arcol, Juiz de Fora). Permanece no projeto como insumo importado sem Ex.</w:t>
      </w:r>
    </w:p>
    <w:p>
      <w:pPr>
        <w:pStyle w:val="ListBullet"/>
        <w:ind w:left="340"/>
      </w:pPr>
      <w:r>
        <w:t>Anemômetro (9015.80.90, Ex 041) e transceptor RSU (8517.62.72, Ex 003) — Ex vigentes; declarar diretamente na DI.</w:t>
      </w:r>
    </w:p>
    <w:p>
      <w:pPr>
        <w:pStyle w:val="Heading2"/>
      </w:pPr>
      <w:r>
        <w:rPr>
          <w:color w:val="0E4F63"/>
        </w:rPr>
        <w:t>3. Projeto de investimento</w:t>
      </w:r>
    </w:p>
    <w:p>
      <w:pPr>
        <w:pStyle w:val="Heading3"/>
      </w:pPr>
      <w:r>
        <w:rPr>
          <w:color w:val="0E4F63"/>
        </w:rPr>
        <w:t>3.1 Função dos bens na linha de produção</w:t>
      </w:r>
    </w:p>
    <w:p>
      <w:r>
        <w:t xml:space="preserve">Os amortecedores e as unidades de controle são integrados aos seguidores na </w:t>
      </w:r>
      <w:r>
        <w:rPr>
          <w:b/>
        </w:rPr>
        <w:t>etapa 6 do processo produtivo</w:t>
      </w:r>
      <w:r>
        <w:t xml:space="preserve"> (integração de componentes mecânicos e eletrônicos nos trackers) na unidade de Salvador-BA. A TCU habilita o rastreamento solar com backtracking; o amortecedor amplia a disponibilidade da estrutura sob vento; o sistema de giro executa o movimento.</w:t>
      </w:r>
    </w:p>
    <w:p>
      <w:pPr>
        <w:pStyle w:val="Heading3"/>
      </w:pPr>
      <w:r>
        <w:rPr>
          <w:color w:val="0E4F63"/>
        </w:rPr>
        <w:t>3.2 Cronograma e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Marco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Protocolo dos pleitos (MDIC/Gecex)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setembro/2026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Decisão Gecex e publicação no DOU (estimativa)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dezembro/2026 a fevereiro/2027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1º embarque (Shanghai / Valência → Recife)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novembro/2026 a fevereiro/2027 (ver alerta em 6.4)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Montagem dos seguidores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dezembro/2026 a dezembro/2027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Local de aplicação (usuária final)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Usina Boa Hora, Tacaimbó-PE — 150,014 MWp — 1.709 seguidores — BCP Energy S/A</w:t>
            </w:r>
          </w:p>
        </w:tc>
      </w:tr>
    </w:tbl>
    <w:p/>
    <w:p>
      <w:pPr>
        <w:pStyle w:val="Heading3"/>
      </w:pPr>
      <w:r>
        <w:rPr>
          <w:color w:val="0E4F63"/>
        </w:rPr>
        <w:t>3.3 Ganho de produtividade (simulação PVsyst)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Sem seguidor (fixo)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Com seguidor Factiun TRX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Ganho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Produtividade específica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1.539 kWh/kWp/ano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1.998 kWh/kWp/ano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+459 kWh/kWp/ano (+29,8%)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Geração anual nos 150 MWp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[valor do relatório PVsyst] MWh/ano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[valor do relatório PVsyst] MWh/ano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+68.850 MWh/ano</w:t>
            </w:r>
          </w:p>
        </w:tc>
      </w:tr>
    </w:tbl>
    <w:p/>
    <w:p>
      <w:r>
        <w:t>Contribuição por bem: TCU (rastreamento e backtracking) — 3 a 5 pontos percentuais; amortecedor (disponibilidade sob vento) — 1,5 a 2,5 pontos percentuais; sistema de giro — execução do movimento.</w:t>
      </w:r>
    </w:p>
    <w:p>
      <w:r>
        <w:rPr>
          <w:i/>
        </w:rPr>
        <w:t>Consistência obrigatória:</w:t>
      </w:r>
      <w:r>
        <w:t xml:space="preserve"> as cartas atuais trazem 216.452 → 281.106 MWh/ano, valores que </w:t>
      </w:r>
      <w:r>
        <w:rPr>
          <w:b/>
        </w:rPr>
        <w:t>não</w:t>
      </w:r>
      <w:r>
        <w:t xml:space="preserve"> resultam de 1.539/1.998 kWh/kWp × 150 MWp (que dariam 230.850 → 299.700 MWh/ano). Preencher os dois campos acima </w:t>
      </w:r>
      <w:r>
        <w:rPr>
          <w:b/>
        </w:rPr>
        <w:t>somente</w:t>
      </w:r>
      <w:r>
        <w:t xml:space="preserve"> com os números do relatório PVsyst anexado e repetir os mesmos números em memórias, cartas e declaração de usuário final.</w:t>
      </w:r>
    </w:p>
    <w:p>
      <w:pPr>
        <w:pStyle w:val="Heading3"/>
      </w:pPr>
      <w:r>
        <w:rPr>
          <w:color w:val="0E4F63"/>
        </w:rPr>
        <w:t>3.4 Tecnologia inovadora</w:t>
      </w:r>
    </w:p>
    <w:p>
      <w:r>
        <w:t>Backtracking em terreno inclinado; 7 posições de segurança; atualização remota de firmware (OTA); amortecimento dimensionado para vento com vida útil de 2 milhões de ciclos.</w:t>
      </w:r>
    </w:p>
    <w:p>
      <w:pPr>
        <w:pStyle w:val="Heading3"/>
      </w:pPr>
      <w:r>
        <w:rPr>
          <w:color w:val="0E4F63"/>
        </w:rPr>
        <w:t>3.5 Valor do investimento (Factiun Sun BR)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Imobilizado (3 anos)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R$ 585.300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Insumos importados — ano 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R$ 8,07 milhões, sendo: TCU R$ 2,76 mi · sistema de rotação R$ 2,49 mi · rolamentos R$ 2,16 mi · amortecedores R$ 636 mil · painéis dedicados R$ 165 mil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Receita — ano 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R$ 31 milhões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Receita — ano 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R$ 126 milhões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Empregos diretos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5 (início) → 13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Operação amparada (usuária final BCP Energy)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R$ 41,66 milhões FOB em seguidores, importação de 12/2026 a 03/2027</w:t>
            </w:r>
          </w:p>
        </w:tc>
      </w:tr>
    </w:tbl>
    <w:p/>
    <w:p>
      <w:pPr>
        <w:pStyle w:val="Heading2"/>
      </w:pPr>
      <w:r>
        <w:rPr>
          <w:color w:val="0E4F63"/>
        </w:rPr>
        <w:t>4. Comprovação de inexistência de produção nacional</w:t>
      </w:r>
    </w:p>
    <w:p>
      <w:pPr>
        <w:pStyle w:val="ListNumber"/>
        <w:ind w:left="340"/>
      </w:pPr>
      <w:r>
        <w:t>Memória descritiva técnica com dissimilaridade parametrizada, por bem (doc. 05 de cada processo).</w:t>
      </w:r>
    </w:p>
    <w:p>
      <w:pPr>
        <w:pStyle w:val="ListNumber"/>
        <w:ind w:left="340"/>
      </w:pPr>
      <w:r>
        <w:t>Carta justificativa assinada pelo representante legal (doc. 08).</w:t>
      </w:r>
    </w:p>
    <w:p>
      <w:pPr>
        <w:pStyle w:val="ListNumber"/>
        <w:ind w:left="340"/>
      </w:pPr>
      <w:r>
        <w:t>Atestado de Inexistência de Produção Nacional — ABIMAQ (doc. 10, a obter).</w:t>
      </w:r>
    </w:p>
    <w:p>
      <w:pPr>
        <w:pStyle w:val="ListNumber"/>
        <w:ind w:left="340"/>
      </w:pPr>
      <w:r>
        <w:t>Três consultas a fabricantes nacionais, documentadas por e-mail com prazo de resposta (doc. 12, a fazer).</w:t>
      </w:r>
    </w:p>
    <w:p>
      <w:pPr>
        <w:pStyle w:val="ListNumber"/>
        <w:ind w:left="340"/>
      </w:pPr>
      <w:r>
        <w:t>Laudo técnico de engenheiro com registro no CREA (doc. 11, recomendado; pode ser juntado por peticionamento intercorrente antes da consulta pública).</w:t>
      </w:r>
    </w:p>
    <w:p>
      <w:pPr>
        <w:pStyle w:val="Heading2"/>
      </w:pPr>
      <w:r>
        <w:rPr>
          <w:color w:val="0E4F63"/>
        </w:rPr>
        <w:t>5. Anexos (um PDF por documento, pesquisável, em português, ≤ 30 MB)</w:t>
      </w:r>
    </w:p>
    <w:p>
      <w:r>
        <w:t>Catálogo do fabricante (campo separado) · fatura proforma em nome da Factiun Sun BR + tradução · este projeto de investimento · declaração de usuário final assinada + relatório PVsyst · contrato social consolidado + cartão CNPJ · procuração.</w:t>
      </w:r>
    </w:p>
    <w:p>
      <w:pPr>
        <w:pStyle w:val="Heading2"/>
      </w:pPr>
      <w:r>
        <w:rPr>
          <w:color w:val="0E4F63"/>
        </w:rPr>
        <w:t>6. Correções de consistência aplicadas nesta revisão</w:t>
      </w:r>
    </w:p>
    <w:p>
      <w:pPr>
        <w:pStyle w:val="ListNumber"/>
        <w:ind w:left="340"/>
      </w:pPr>
      <w:r>
        <w:rPr>
          <w:b/>
        </w:rPr>
        <w:t>NCM da TCU</w:t>
      </w:r>
      <w:r>
        <w:t xml:space="preserve"> unificada em 8479.90.90 (BK, 14%) em todo o projeto; a versão anterior misturava 8479.90.90 (ficha, declaração) e 8517.62.59 (memória Rev. 01 e carta).</w:t>
      </w:r>
    </w:p>
    <w:p>
      <w:pPr>
        <w:pStyle w:val="ListNumber"/>
        <w:ind w:left="340"/>
      </w:pPr>
      <w:r>
        <w:rPr>
          <w:b/>
        </w:rPr>
        <w:t>Mancal</w:t>
      </w:r>
      <w:r>
        <w:t xml:space="preserve"> mantido apenas como insumo importado sem Ex; removida qualquer menção a pleito para o mancal.</w:t>
      </w:r>
    </w:p>
    <w:p>
      <w:pPr>
        <w:pStyle w:val="ListNumber"/>
        <w:ind w:left="340"/>
      </w:pPr>
      <w:r>
        <w:rPr>
          <w:b/>
        </w:rPr>
        <w:t>Números de geração</w:t>
      </w:r>
      <w:r>
        <w:t xml:space="preserve"> (MWh/ano) deixados como campo a preencher a partir do PVsyst, pela divergência entre 216.452/281.106 e 230.850/299.700.</w:t>
      </w:r>
    </w:p>
    <w:p>
      <w:pPr>
        <w:pStyle w:val="ListNumber"/>
        <w:ind w:left="340"/>
      </w:pPr>
      <w:r>
        <w:rPr>
          <w:b/>
        </w:rPr>
        <w:t>Alerta de cronograma:</w:t>
      </w:r>
      <w:r>
        <w:t xml:space="preserve"> o Ex só vale para DI registrada após a publicação no DOU, sem retroatividade. Um embarque em novembro/2026 chega antes da decisão e paga II cheio (14%). A data do 1º embarque deve ser confirmada pela Factiun/BCP antes do protocolo, e o cronograma acima ajustado se necessário.</w:t>
      </w:r>
    </w:p>
    <w:p>
      <w:pPr>
        <w:pStyle w:val="ListNumber"/>
        <w:ind w:left="340"/>
      </w:pPr>
      <w:r>
        <w:rPr>
          <w:b/>
        </w:rPr>
        <w:t>Endereço</w:t>
      </w:r>
      <w:r>
        <w:t xml:space="preserve"> da sede: Salvador-BA em todo o documento (a constituição de 22/01/2026 indicava Belo Horizonte).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