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10 — Solicitação de Atestado de Inexistência de Produção Nacional (ABIMAQ)</w:t>
      </w:r>
    </w:p>
    <w:p>
      <w:r>
        <w:rPr>
          <w:b/>
        </w:rPr>
        <w:t>Por que:</w:t>
      </w:r>
      <w:r>
        <w:t xml:space="preserve"> a ABIMAQ é quem emite o Atestado de Inexistência de Produção Nacional; quem contesta na consulta pública é o fabricante individual. O atestado não é obrigatório na Res. 512/2023, mas blinda o pleito na consulta pública. Solicitar </w:t>
      </w:r>
      <w:r>
        <w:rPr>
          <w:b/>
        </w:rPr>
        <w:t>antes do protocolo</w:t>
      </w:r>
      <w:r>
        <w:t xml:space="preserve"> (prazo interno: 15/09/2026). Se o atestado sair depois do protocolo, juntar por Peticionamento Intercorrente.</w:t>
      </w:r>
    </w:p>
    <w:p>
      <w:r>
        <w:rPr>
          <w:b/>
        </w:rPr>
        <w:t>Responsável:</w:t>
      </w:r>
      <w:r>
        <w:t xml:space="preserve"> Videl (Adailton) · </w:t>
      </w:r>
      <w:r>
        <w:rPr>
          <w:b/>
        </w:rPr>
        <w:t>Remetente:</w:t>
      </w:r>
      <w:r>
        <w:t xml:space="preserve"> Factiun Sun BR (a solicitação é da pleiteante; a Videl encaminha por procuração).</w:t>
      </w:r>
    </w:p>
    <w:p>
      <w:pPr>
        <w:pBdr>
          <w:bottom w:val="single" w:sz="6" w:space="1" w:color="D3DAE1"/>
        </w:pBdr>
      </w:pPr>
    </w:p>
    <w:p>
      <w:pPr>
        <w:pStyle w:val="Heading2"/>
      </w:pPr>
      <w:r>
        <w:rPr>
          <w:color w:val="0E4F63"/>
        </w:rPr>
        <w:t>Modelo de e-mail / ofício</w:t>
      </w:r>
    </w:p>
    <w:p>
      <w:r>
        <w:rPr>
          <w:b/>
        </w:rPr>
        <w:t>Para:</w:t>
      </w:r>
      <w:r>
        <w:t xml:space="preserve"> ABIMAQ — Departamento responsável por atestados de inexistência de produção nacional (confirmar o endereço no site abimaq.org.br antes de enviar) </w:t>
      </w:r>
      <w:r>
        <w:rPr>
          <w:b/>
        </w:rPr>
        <w:t>Assunto:</w:t>
      </w:r>
      <w:r>
        <w:t xml:space="preserve"> Solicitação de Atestado de Inexistência de Produção Nacional — Factiun Sun BR Ltda — NCM 8479.90.90</w:t>
      </w:r>
    </w:p>
    <w:p>
      <w:r>
        <w:t>Prezados Senhores,</w:t>
      </w:r>
    </w:p>
    <w:p>
      <w:r>
        <w:t>Factiun Sun BR Ltda, CNPJ 64.947.469/0001-15, com sede na Rua dos Franciscanos, Galpão 8, Loteamento Dom Avelar, Pirajá, Salvador-BA, CEP 41.315-000, fabricante e integradora de seguidores solares fotovoltaicos, por seu procurador Gearlison da Silva Caires (Videl T&amp;L, procuração de 21/08/2026), vem solicitar a emissão de Atestado de Inexistência de Produção Nacional para os bens abaixo, que serão objeto de pleito de Ex-tarifário junto ao MDIC/Gecex (Res. Gecex nº 512/2023):</w:t>
      </w:r>
    </w:p>
    <w:p>
      <w:r>
        <w:rPr>
          <w:b/>
        </w:rPr>
        <w:t>1. Amortecedores hidráulicos — NCM 8479.90.90</w:t>
      </w:r>
      <w:r>
        <w:t xml:space="preserve"> Amortecedores hidráulicos para seguidores solares fotovoltaicos, com força de amortecimento entre 3.300 e 8.650 N, curso nominal de 381 mm, resistência mínima à tração de 20 kN, faixa de operação de -20 °C a +60 °C e revestimento anticorrosivo ensaiado em névoa salina conforme ASTM B117, destinados à mitigação de vibrações estruturais induzidas pelo vento.</w:t>
      </w:r>
    </w:p>
    <w:p>
      <w:r>
        <w:rPr>
          <w:b/>
        </w:rPr>
        <w:t>2. Unidades eletrônicas de controle de seguidores solares — NCM 8479.90.90</w:t>
      </w:r>
      <w:r>
        <w:t xml:space="preserve"> Unidades eletrônicas de controle de seguidores solares fotovoltaicos, com algoritmos integrados de rastreamento solar e de backtracking para terrenos inclinados, comunicação sem fio Zigbee e Bluetooth Low Energy e serial RS485, atualização remota de firmware, grau de proteção IP65/NEMA 3R, conforme IEC 62817, destinadas à gestão e ao acionamento de uma ou mais fileiras de seguidores.</w:t>
      </w:r>
    </w:p>
    <w:p>
      <w:r>
        <w:t>Seguem anexos: memória descritiva técnica de cada bem (sem identificação de marca), catálogo do fabricante e comprovante de constituição da pleiteante.</w:t>
      </w:r>
    </w:p>
    <w:p>
      <w:r>
        <w:t>Aplicação: integração dos bens em seguidores solares na unidade fabril de Salvador-BA, com primeira aplicação na usina fotovoltaica Boa Hora (Tacaimbó-PE, 150 MWp).</w:t>
      </w:r>
    </w:p>
    <w:p>
      <w:r>
        <w:t xml:space="preserve">Solicitamos, se possível, retorno até </w:t>
      </w:r>
      <w:r>
        <w:rPr>
          <w:b/>
        </w:rPr>
        <w:t>15/09/2026</w:t>
      </w:r>
      <w:r>
        <w:t>, data prevista para o protocolo dos pleitos. Ficamos à disposição para esclarecimentos técnicos e para o pagamento das taxas aplicáveis.</w:t>
      </w:r>
    </w:p>
    <w:p>
      <w:r>
        <w:t>Atenciosamente,</w:t>
      </w:r>
    </w:p>
    <w:p>
      <w:r>
        <w:t>Gearlison da Silva Caires — procurador Factiun Sun BR Ltda / Videl T&amp;L gcaires@videltel.com.br · +55 11 94376-0266</w:t>
      </w:r>
    </w:p>
    <w:p>
      <w:pPr>
        <w:pBdr>
          <w:bottom w:val="single" w:sz="6" w:space="1" w:color="D3DAE1"/>
        </w:pBdr>
      </w:pPr>
    </w:p>
    <w:p>
      <w:pPr>
        <w:pStyle w:val="Heading2"/>
      </w:pPr>
      <w:r>
        <w:rPr>
          <w:color w:val="0E4F63"/>
        </w:rPr>
        <w:t>Anexos do pedido</w:t>
      </w:r>
    </w:p>
    <w:p>
      <w:pPr>
        <w:pStyle w:val="ListBullet"/>
        <w:ind w:left="340"/>
      </w:pPr>
      <w:r>
        <w:t xml:space="preserve">[ ] </w:t>
      </w:r>
      <w:r>
        <w:rPr>
          <w:rFonts w:ascii="Consolas" w:hAnsi="Consolas"/>
          <w:sz w:val="18"/>
        </w:rPr>
        <w:t>05_Memoria_Descritiva_Tecnica</w:t>
      </w:r>
      <w:r>
        <w:t xml:space="preserve"> (Amortecedor)</w:t>
      </w:r>
    </w:p>
    <w:p>
      <w:pPr>
        <w:pStyle w:val="ListBullet"/>
        <w:ind w:left="340"/>
      </w:pPr>
      <w:r>
        <w:t xml:space="preserve">[ ] </w:t>
      </w:r>
      <w:r>
        <w:rPr>
          <w:rFonts w:ascii="Consolas" w:hAnsi="Consolas"/>
          <w:sz w:val="18"/>
        </w:rPr>
        <w:t>05_Memoria_Descritiva_Tecnica</w:t>
      </w:r>
      <w:r>
        <w:t xml:space="preserve"> (TCU)</w:t>
      </w:r>
    </w:p>
    <w:p>
      <w:pPr>
        <w:pStyle w:val="ListBullet"/>
        <w:ind w:left="340"/>
      </w:pPr>
      <w:r>
        <w:t>[ ] Catálogos dos fabricantes (XSD; IED) — quando recebidos</w:t>
      </w:r>
    </w:p>
    <w:p>
      <w:pPr>
        <w:pStyle w:val="ListBullet"/>
        <w:ind w:left="340"/>
      </w:pPr>
      <w:r>
        <w:t>[ ] Contrato social / cartão CNPJ</w:t>
      </w:r>
    </w:p>
    <w:p>
      <w:pPr>
        <w:pStyle w:val="ListBullet"/>
        <w:ind w:left="340"/>
      </w:pPr>
      <w:r>
        <w:t>[ ] Procuração de 21/08/2026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