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SUBSTÂNCIA — Guia de protocolo no SEI/ColaboraGov</w:t>
      </w:r>
    </w:p>
    <w:p>
      <w:pPr>
        <w:pStyle w:val="Heading2"/>
      </w:pPr>
      <w:r>
        <w:rPr>
          <w:color w:val="0E4F63"/>
        </w:rPr>
        <w:t>Ex-tarifário Factiun Sun BR · Amortecedor (8479.90.90) e TCU (8479.90.90)</w:t>
      </w:r>
    </w:p>
    <w:p>
      <w:r>
        <w:rPr>
          <w:b/>
        </w:rPr>
        <w:t>Para:</w:t>
      </w:r>
      <w:r>
        <w:t xml:space="preserve"> Raimundo Nascimento (Marear) · Emerson Oliveira (PlanetaComex) · José Adailton Santos (Videl) </w:t>
      </w:r>
      <w:r>
        <w:rPr>
          <w:b/>
        </w:rPr>
        <w:t>Usuário externo que protocola:</w:t>
      </w:r>
      <w:r>
        <w:t xml:space="preserve"> Gearlison da Silva Caires (procurador, procuração de 21/08/2026) </w:t>
      </w:r>
      <w:r>
        <w:rPr>
          <w:b/>
        </w:rPr>
        <w:t>Pleiteante / interessada:</w:t>
      </w:r>
      <w:r>
        <w:t xml:space="preserve"> Factiun Sun BR Ltda · CNPJ 64.947.469/0001-15 </w:t>
      </w:r>
      <w:r>
        <w:rPr>
          <w:b/>
        </w:rPr>
        <w:t>Base legal:</w:t>
      </w:r>
      <w:r>
        <w:t xml:space="preserve"> Res. Gecex nº 512/2023 (compilada) · Decreto nº 11.428/2023 · Gecex 760/2025 · Gecex 852/853/2026 </w:t>
      </w:r>
      <w:r>
        <w:rPr>
          <w:b/>
        </w:rPr>
        <w:t>Versão:</w:t>
      </w:r>
      <w:r>
        <w:t xml:space="preserve"> 02/09/2026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0. Cronograma que este guia cumpre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Etapa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Data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Responsável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Início do cadastro de usuário externo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02/09/2026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Gearlison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Liberação do cadastro (3 a 5 dias úteis)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até 09/09/2026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MGI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Correções documentais fechadas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09/09/2026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Factiun + Videl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Protocolo — Processo 1 (Amortecedor) e Processo 2 (TCU)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10 a 15/09/2026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Gearlison + despachante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Análise documental MDIC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 a 4 semanas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MDIC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Consulta pública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 dias corridos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Decisão Gecex + DOU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~4 meses após o protocolo (dez/2026 a fev/2027)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Gecex</w:t>
            </w:r>
          </w:p>
        </w:tc>
      </w:tr>
    </w:tbl>
    <w:p/>
    <w:p>
      <w:r>
        <w:t>Um pleito indeferido só pode ser reapresentado depois de 1 ano. Por isso este guia tem conferências de "não protocolar se…" em cada etapa.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1. Onde é o protocolo (e onde NÃO é)</w:t>
      </w:r>
    </w:p>
    <w:p>
      <w:pPr>
        <w:pStyle w:val="ListBullet"/>
        <w:ind w:left="340"/>
      </w:pPr>
      <w:r>
        <w:t xml:space="preserve">O MDIC </w:t>
      </w:r>
      <w:r>
        <w:rPr>
          <w:b/>
        </w:rPr>
        <w:t>não tem SEI próprio</w:t>
      </w:r>
      <w:r>
        <w:t xml:space="preserve">. O peticionamento é no </w:t>
      </w:r>
      <w:r>
        <w:rPr>
          <w:b/>
        </w:rPr>
        <w:t>SEI/ColaboraGov</w:t>
      </w:r>
      <w:r>
        <w:t xml:space="preserve">, operado pelo MGI: </w:t>
      </w:r>
      <w:r>
        <w:rPr>
          <w:b/>
        </w:rPr>
        <w:t>https://colaboragov.sei.gov.br</w:t>
      </w:r>
      <w:r>
        <w:t xml:space="preserve"> (IN SSC/MGI nº 79/2026, art. 84).</w:t>
      </w:r>
    </w:p>
    <w:p>
      <w:pPr>
        <w:pStyle w:val="ListBullet"/>
        <w:ind w:left="340"/>
      </w:pPr>
      <w:r>
        <w:rPr>
          <w:b/>
        </w:rPr>
        <w:t>Atenção:</w:t>
      </w:r>
      <w:r>
        <w:t xml:space="preserve"> a solicitação de cadastro feita em 01/09 recebeu resposta automática do </w:t>
      </w:r>
      <w:r>
        <w:rPr>
          <w:b/>
        </w:rPr>
        <w:t>SEI do Ministério do Turismo (sei@turismo.gov.br)</w:t>
      </w:r>
      <w:r>
        <w:t xml:space="preserve">. Esse cadastro </w:t>
      </w:r>
      <w:r>
        <w:rPr>
          <w:b/>
        </w:rPr>
        <w:t>não serve</w:t>
      </w:r>
      <w:r>
        <w:t xml:space="preserve"> para o MDIC. Refazer o cadastro no ColaboraGov, órgão </w:t>
      </w:r>
      <w:r>
        <w:rPr>
          <w:b/>
        </w:rPr>
        <w:t>MDIC</w:t>
      </w:r>
      <w:r>
        <w:t>, e responder ao Turismo pedindo o cancelamento.</w:t>
      </w:r>
    </w:p>
    <w:p>
      <w:pPr>
        <w:pStyle w:val="ListBullet"/>
        <w:ind w:left="340"/>
      </w:pPr>
      <w:r>
        <w:t xml:space="preserve">O login do SEI é próprio (usuário/senha do SEI). A conta </w:t>
      </w:r>
      <w:r>
        <w:rPr>
          <w:b/>
        </w:rPr>
        <w:t>gov.br</w:t>
      </w:r>
      <w:r>
        <w:t xml:space="preserve"> entra apenas para assinar o Termo de Concordância.</w:t>
      </w:r>
    </w:p>
    <w:p>
      <w:pPr>
        <w:pStyle w:val="ListBullet"/>
        <w:ind w:left="340"/>
      </w:pPr>
      <w:r>
        <w:t xml:space="preserve">Plano B, se o ColaboraGov travar: </w:t>
      </w:r>
      <w:r>
        <w:rPr>
          <w:b/>
        </w:rPr>
        <w:t>Protocolo.GOV.BR</w:t>
      </w:r>
      <w:r>
        <w:t xml:space="preserve"> do MDIC, com os mesmos modelos de gov.br/mdic/pt-br/assuntos/sdic/ex-tarifario/encaminhar-pleito.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2. Cadastro de usuário externo (caminho crítico)</w:t>
      </w:r>
    </w:p>
    <w:p>
      <w:r>
        <w:t xml:space="preserve">Quem se cadastra é a </w:t>
      </w:r>
      <w:r>
        <w:rPr>
          <w:b/>
        </w:rPr>
        <w:t>pessoa física</w:t>
      </w:r>
      <w:r>
        <w:t xml:space="preserve"> Gearlison da Silva Caires. A Factiun Sun BR é a interessada do processo, não a usuária.</w:t>
      </w:r>
    </w:p>
    <w:p>
      <w:pPr>
        <w:pStyle w:val="ListNumber"/>
        <w:ind w:left="340"/>
      </w:pPr>
      <w:r>
        <w:t xml:space="preserve">Acessar https://colaboragov.sei.gov.br → </w:t>
      </w:r>
      <w:r>
        <w:rPr>
          <w:b/>
        </w:rPr>
        <w:t>Usuário Externo</w:t>
      </w:r>
      <w:r>
        <w:t xml:space="preserve"> → "Clique aqui se você ainda não está cadastrado". Órgão: </w:t>
      </w:r>
      <w:r>
        <w:rPr>
          <w:b/>
        </w:rPr>
        <w:t>MDIC</w:t>
      </w:r>
      <w:r>
        <w:t>.</w:t>
      </w:r>
    </w:p>
    <w:p>
      <w:pPr>
        <w:pStyle w:val="ListNumber"/>
        <w:ind w:left="340"/>
      </w:pPr>
      <w:r>
        <w:t xml:space="preserve">Preencher com dados </w:t>
      </w:r>
      <w:r>
        <w:rPr>
          <w:b/>
        </w:rPr>
        <w:t>idênticos ao RG</w:t>
      </w:r>
      <w:r>
        <w:t xml:space="preserve"> (nome sem abreviação, sem caixa alta). Endereço igual ao comprovante.</w:t>
      </w:r>
    </w:p>
    <w:p>
      <w:pPr>
        <w:pStyle w:val="ListNumber"/>
        <w:ind w:left="340"/>
      </w:pPr>
      <w:r>
        <w:rPr>
          <w:b/>
        </w:rPr>
        <w:t>E-mail pessoal e nominal</w:t>
      </w:r>
      <w:r>
        <w:t xml:space="preserve"> (ex.: Gmail). E-mail corporativo (gcaires@videltel.com.br) é rejeitado. Criar </w:t>
      </w:r>
      <w:r>
        <w:rPr>
          <w:b/>
        </w:rPr>
        <w:t>regra de encaminhamento</w:t>
      </w:r>
      <w:r>
        <w:t xml:space="preserve"> desse e-mail pessoal para gcaires@videltel.com.br e jadam@videltel.com.br, para não perder prazo de exigência (10 dias úteis).</w:t>
      </w:r>
    </w:p>
    <w:p>
      <w:pPr>
        <w:pStyle w:val="ListNumber"/>
        <w:ind w:left="340"/>
      </w:pPr>
      <w:r>
        <w:t xml:space="preserve">Baixar o </w:t>
      </w:r>
      <w:r>
        <w:rPr>
          <w:b/>
        </w:rPr>
        <w:t>Termo de Concordância e Veracidade</w:t>
      </w:r>
      <w:r>
        <w:t xml:space="preserve"> (PDF do portal MGI) e preencher com os mesmos dados do passo 2.</w:t>
      </w:r>
    </w:p>
    <w:p>
      <w:pPr>
        <w:pStyle w:val="ListNumber"/>
        <w:ind w:left="340"/>
      </w:pPr>
      <w:r>
        <w:t xml:space="preserve">Assinar o Termo: </w:t>
      </w:r>
      <w:r>
        <w:rPr>
          <w:b/>
        </w:rPr>
        <w:t>gov.br</w:t>
      </w:r>
      <w:r>
        <w:t xml:space="preserve"> (assinador.iti.br, conta prata ou ouro) ou </w:t>
      </w:r>
      <w:r>
        <w:rPr>
          <w:b/>
        </w:rPr>
        <w:t>ICP-Brasil</w:t>
      </w:r>
      <w:r>
        <w:t>. Alternativa: próprio punho, digitalizado.</w:t>
      </w:r>
    </w:p>
    <w:p>
      <w:pPr>
        <w:pStyle w:val="ListNumber"/>
        <w:ind w:left="340"/>
      </w:pPr>
      <w:r>
        <w:t>Juntar RG e CPF (ou CNH) em PDF colorido + comprovante de endereço.</w:t>
      </w:r>
    </w:p>
    <w:p>
      <w:pPr>
        <w:pStyle w:val="ListNumber"/>
        <w:ind w:left="340"/>
      </w:pPr>
      <w:r>
        <w:t>Enviar:</w:t>
      </w:r>
    </w:p>
    <w:p>
      <w:pPr>
        <w:pStyle w:val="ListBullet"/>
        <w:ind w:left="680"/>
      </w:pPr>
      <w:r>
        <w:t xml:space="preserve">assinatura gov.br/ICP → e-mail para </w:t>
      </w:r>
      <w:r>
        <w:rPr>
          <w:b/>
        </w:rPr>
        <w:t>sei@gestao.gov.br</w:t>
      </w:r>
      <w:r>
        <w:t xml:space="preserve">, assunto </w:t>
      </w:r>
      <w:r>
        <w:rPr>
          <w:b/>
        </w:rPr>
        <w:t>exatamente</w:t>
      </w:r>
      <w:r>
        <w:t xml:space="preserve">: </w:t>
      </w:r>
      <w:r>
        <w:rPr>
          <w:rFonts w:ascii="Consolas" w:hAnsi="Consolas"/>
          <w:sz w:val="18"/>
        </w:rPr>
        <w:t>Cadastro de Usuário Externo</w:t>
      </w:r>
      <w:r>
        <w:t>, com Termo + documentos anexos;</w:t>
      </w:r>
    </w:p>
    <w:p>
      <w:pPr>
        <w:pStyle w:val="ListBullet"/>
        <w:ind w:left="680"/>
      </w:pPr>
      <w:r>
        <w:t>assinatura de próprio punho → Protocolo GOV.BR do MGI, tipo "11 — Solicitar cadastro de usuário externo no SEI".</w:t>
      </w:r>
    </w:p>
    <w:p>
      <w:pPr>
        <w:pStyle w:val="ListNumber"/>
        <w:ind w:left="340"/>
      </w:pPr>
      <w:r>
        <w:t>Liberação em até 5 dias úteis (média 3). Guardar o e-mail de confirmação.</w:t>
      </w:r>
    </w:p>
    <w:p>
      <w:r>
        <w:rPr>
          <w:b/>
        </w:rPr>
        <w:t>Não seguir para o protocolo se:</w:t>
      </w:r>
      <w:r>
        <w:t xml:space="preserve"> o e-mail de liberação não chegou; o nome no cadastro difere do nome na procuração.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3. Antes de abrir o SEI — pasta final por processo</w:t>
      </w:r>
    </w:p>
    <w:p>
      <w:r>
        <w:t xml:space="preserve">Montar </w:t>
      </w:r>
      <w:r>
        <w:rPr>
          <w:b/>
        </w:rPr>
        <w:t>duas pastas</w:t>
      </w:r>
      <w:r>
        <w:t xml:space="preserve"> (</w:t>
      </w:r>
      <w:r>
        <w:rPr>
          <w:rFonts w:ascii="Consolas" w:hAnsi="Consolas"/>
          <w:sz w:val="18"/>
        </w:rPr>
        <w:t>AMORT</w:t>
      </w:r>
      <w:r>
        <w:t xml:space="preserve"> e </w:t>
      </w:r>
      <w:r>
        <w:rPr>
          <w:rFonts w:ascii="Consolas" w:hAnsi="Consolas"/>
          <w:sz w:val="18"/>
        </w:rPr>
        <w:t>TCU</w:t>
      </w:r>
      <w:r>
        <w:t xml:space="preserve">) com os PDFs abaixo, nomeados conforme o README do pacote. Cada arquivo: </w:t>
      </w:r>
      <w:r>
        <w:rPr>
          <w:b/>
        </w:rPr>
        <w:t>PDF pesquisável</w:t>
      </w:r>
      <w:r>
        <w:t xml:space="preserve">, sem comentários/controle de alterações, </w:t>
      </w:r>
      <w:r>
        <w:rPr>
          <w:b/>
        </w:rPr>
        <w:t>≤ 30 MB</w:t>
      </w:r>
      <w:r>
        <w:t>, em português (estrangeiro + tradução simples no mesmo PDF).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AMORT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TCU</w:t>
            </w:r>
          </w:p>
        </w:tc>
        <w:tc>
          <w:tcPr>
            <w:tcW w:type="dxa" w:w="199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Conferir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Formulário (conteúdo em Word, para copiar no SEI)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NCM, BK, 14% → 0%, descrição TEC, uma pessoa de contato, valores sem separador de milhar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Catálogo do fabricante (XSD / IED) + tradução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Original do fabricante, parâmetros da descrição localizáveis no texto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 xml:space="preserve">Fatura proforma em nome da </w:t>
            </w:r>
            <w:r>
              <w:rPr>
                <w:b/>
                <w:sz w:val="18"/>
              </w:rPr>
              <w:t>Factiun Sun BR</w:t>
            </w:r>
            <w:r>
              <w:rPr>
                <w:sz w:val="18"/>
              </w:rPr>
              <w:t>, destino Brasil + tradução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Não é fatura real; não é Factiun Sun S.L.; quantidade do projeto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Procuração (assinada 21/08, ICP)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Arquivo correto (o "04" dos zips é o contrato social)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04b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Contrato social consolidado (constituição + 1ª + 2ª alterações, com registro JUCEMG)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Sede Salvador; Tony administrador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04c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Cartão CNPJ nato-digital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Endereço Salvador; situação ativa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Memória descritiva técnica (sem marca; NCM do processo)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Colchetes preenchidos com dados do catálogo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Projeto de investimento (PDF único, idêntico nos dois)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MWh/ano preenchidos com o PVsyst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 xml:space="preserve">Declaração de usuário final </w:t>
            </w:r>
            <w:r>
              <w:rPr>
                <w:b/>
                <w:sz w:val="18"/>
              </w:rPr>
              <w:t>assinada</w:t>
            </w:r>
            <w:r>
              <w:rPr>
                <w:sz w:val="18"/>
              </w:rPr>
              <w:t xml:space="preserve"> pela BCP + Anexo I PVsyst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Título "Declaração de Usuário Final"; Fortaleza; NCM do processo; assinatura gov.br/ICP válida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 xml:space="preserve">Carta justificativa </w:t>
            </w:r>
            <w:r>
              <w:rPr>
                <w:b/>
                <w:sz w:val="18"/>
              </w:rPr>
              <w:t>reassinada</w:t>
            </w:r>
            <w:r>
              <w:rPr>
                <w:sz w:val="18"/>
              </w:rPr>
              <w:t xml:space="preserve"> (Tony, ICP)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Texto TEC; NCM do processo; sem marca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Atestado ABIMAQ (se recebido)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Senão, juntar depois por intercorrente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Laudo CREA (se pronto)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Idem</w:t>
            </w:r>
          </w:p>
        </w:tc>
      </w:tr>
    </w:tbl>
    <w:p/>
    <w:p>
      <w:r>
        <w:rPr>
          <w:b/>
        </w:rPr>
        <w:t>Não protocolar se:</w:t>
      </w:r>
      <w:r>
        <w:t xml:space="preserve"> qualquer documento ainda tiver </w:t>
      </w:r>
      <w:r>
        <w:rPr>
          <w:rFonts w:ascii="Consolas" w:hAnsi="Consolas"/>
          <w:sz w:val="18"/>
        </w:rPr>
        <w:t>[colchetes]</w:t>
      </w:r>
      <w:r>
        <w:t>; a NCM não for a mesma em 00, 03, 05, 07 e 08; a declaração da BCP estiver sem assinatura; a proforma estiver em nome da Factiun Sun S.L.; o catálogo for imagem sem OCR.</w:t>
      </w:r>
    </w:p>
    <w:p>
      <w:r>
        <w:rPr>
          <w:b/>
        </w:rPr>
        <w:t>Regra do catálogo:</w:t>
      </w:r>
      <w:r>
        <w:t xml:space="preserve"> o catálogo (01) é publicado na íntegra na consulta pública e vai </w:t>
      </w:r>
      <w:r>
        <w:rPr>
          <w:b/>
        </w:rPr>
        <w:t>sozinho</w:t>
      </w:r>
      <w:r>
        <w:t xml:space="preserve"> no campo próprio. Nunca no mesmo PDF da proforma, do contrato social ou do projeto de investimento.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4. Peticionamento — passo a passo (repetir para cada NCM)</w:t>
      </w:r>
    </w:p>
    <w:p>
      <w:pPr>
        <w:pStyle w:val="ListNumber"/>
        <w:ind w:left="340"/>
      </w:pPr>
      <w:r>
        <w:t xml:space="preserve">Login no SEI/ColaboraGov como usuário externo → menu </w:t>
      </w:r>
      <w:r>
        <w:rPr>
          <w:b/>
        </w:rPr>
        <w:t>Peticionamento → Processo Novo</w:t>
      </w:r>
      <w:r>
        <w:t>.</w:t>
      </w:r>
    </w:p>
    <w:p>
      <w:pPr>
        <w:pStyle w:val="ListNumber"/>
        <w:ind w:left="340"/>
      </w:pPr>
      <w:r>
        <w:t xml:space="preserve">Tipo de processo: </w:t>
      </w:r>
      <w:r>
        <w:rPr>
          <w:b/>
        </w:rPr>
        <w:t>"Política de Comércio Exterior: Ex-tarifário para BK e BIT: Concessão"</w:t>
      </w:r>
      <w:r>
        <w:t>.</w:t>
      </w:r>
    </w:p>
    <w:p>
      <w:pPr>
        <w:pStyle w:val="ListNumber"/>
        <w:ind w:left="340"/>
      </w:pPr>
      <w:r>
        <w:rPr>
          <w:b/>
        </w:rPr>
        <w:t>Especificação:</w:t>
      </w:r>
      <w:r>
        <w:t xml:space="preserve"> razão social da pleiteante — </w:t>
      </w:r>
      <w:r>
        <w:rPr>
          <w:rFonts w:ascii="Consolas" w:hAnsi="Consolas"/>
          <w:sz w:val="18"/>
        </w:rPr>
        <w:t>Factiun Sun BR Ltda — Ex-tarifário NCM 8479.90.90 — Amortecedores hidráulicos para seguidores solares</w:t>
      </w:r>
      <w:r>
        <w:t xml:space="preserve"> (no processo 2: </w:t>
      </w:r>
      <w:r>
        <w:rPr>
          <w:rFonts w:ascii="Consolas" w:hAnsi="Consolas"/>
          <w:sz w:val="18"/>
        </w:rPr>
        <w:t>… — Unidades de controle de seguidores solares</w:t>
      </w:r>
      <w:r>
        <w:t>). Nunca escrever "Videl".</w:t>
      </w:r>
    </w:p>
    <w:p>
      <w:pPr>
        <w:pStyle w:val="ListNumber"/>
        <w:ind w:left="340"/>
      </w:pPr>
      <w:r>
        <w:rPr>
          <w:b/>
        </w:rPr>
        <w:t>Interessado:</w:t>
      </w:r>
      <w:r>
        <w:t xml:space="preserve"> Pessoa Jurídica → CNPJ 64.947.469/0001-15 → </w:t>
      </w:r>
      <w:r>
        <w:rPr>
          <w:b/>
        </w:rPr>
        <w:t>conferir que a linha da Factiun apareceu na tabela</w:t>
      </w:r>
      <w:r>
        <w:t xml:space="preserve"> de interessados antes de continuar.</w:t>
      </w:r>
    </w:p>
    <w:p>
      <w:pPr>
        <w:pStyle w:val="ListNumber"/>
        <w:ind w:left="340"/>
      </w:pPr>
      <w:r>
        <w:rPr>
          <w:b/>
        </w:rPr>
        <w:t>Documento principal = formulário eletrônico dentro do SEI</w:t>
      </w:r>
      <w:r>
        <w:t xml:space="preserve"> (não é anexo). Só as células vazias são editáveis. Colar campo a campo a partir do arquivo </w:t>
      </w:r>
      <w:r>
        <w:rPr>
          <w:rFonts w:ascii="Consolas" w:hAnsi="Consolas"/>
          <w:sz w:val="18"/>
        </w:rPr>
        <w:t>00-formulario-pleito</w:t>
      </w:r>
      <w:r>
        <w:t xml:space="preserve"> (já em Word). Valores sem separador de milhar. Uma única pessoa de contato (Gearlison).</w:t>
      </w:r>
    </w:p>
    <w:p>
      <w:pPr>
        <w:pStyle w:val="ListBullet"/>
        <w:ind w:left="680"/>
      </w:pPr>
      <w:r>
        <w:rPr>
          <w:b/>
        </w:rPr>
        <w:t>Antes de clicar em Peticionar, copiar todo o formulário preenchido para o Word</w:t>
      </w:r>
      <w:r>
        <w:t xml:space="preserve"> — o usuário externo perde acesso ao formulário depois do envio.</w:t>
      </w:r>
    </w:p>
    <w:p>
      <w:pPr>
        <w:pStyle w:val="ListNumber"/>
        <w:ind w:left="340"/>
      </w:pPr>
      <w:r>
        <w:rPr>
          <w:b/>
        </w:rPr>
        <w:t>Anexos:</w:t>
      </w:r>
      <w:r>
        <w:t xml:space="preserve"> "Documentos Essenciais / Anexos", um arquivo por vez. Tipo: </w:t>
      </w:r>
      <w:r>
        <w:rPr>
          <w:b/>
        </w:rPr>
        <w:t>Anexos</w:t>
      </w:r>
      <w:r>
        <w:t xml:space="preserve">. Formato: </w:t>
      </w:r>
      <w:r>
        <w:rPr>
          <w:b/>
        </w:rPr>
        <w:t>Nato-digital</w:t>
      </w:r>
      <w:r>
        <w:t xml:space="preserve"> (PDF nascido digital) ou </w:t>
      </w:r>
      <w:r>
        <w:rPr>
          <w:b/>
        </w:rPr>
        <w:t>Digitalizado</w:t>
      </w:r>
      <w:r>
        <w:t xml:space="preserve"> (se veio de scanner). Só PDF, ≤ 30 MB. Ordem sugerida: 01, 03, 04, 04b, 04c, 05, 06, 07, 08, (10, 11).</w:t>
      </w:r>
    </w:p>
    <w:p>
      <w:pPr>
        <w:pStyle w:val="ListNumber"/>
        <w:ind w:left="340"/>
      </w:pPr>
      <w:r>
        <w:rPr>
          <w:b/>
        </w:rPr>
        <w:t>Janela de 1 hora:</w:t>
      </w:r>
      <w:r>
        <w:t xml:space="preserve"> o SEI apaga os arquivos se passar mais de 1 hora entre o primeiro e o último upload. Ter a pasta pronta e subir tudo de uma vez, sem interrupção. Conexão estável.</w:t>
      </w:r>
    </w:p>
    <w:p>
      <w:pPr>
        <w:pStyle w:val="ListNumber"/>
        <w:ind w:left="340"/>
      </w:pPr>
      <w:r>
        <w:t xml:space="preserve">Clicar em </w:t>
      </w:r>
      <w:r>
        <w:rPr>
          <w:b/>
        </w:rPr>
        <w:t>Peticionar</w:t>
      </w:r>
      <w:r>
        <w:t xml:space="preserve"> → informar </w:t>
      </w:r>
      <w:r>
        <w:rPr>
          <w:b/>
        </w:rPr>
        <w:t>cargo/função</w:t>
      </w:r>
      <w:r>
        <w:t xml:space="preserve"> ("Procurador") → </w:t>
      </w:r>
      <w:r>
        <w:rPr>
          <w:b/>
        </w:rPr>
        <w:t>senha do SEI</w:t>
      </w:r>
      <w:r>
        <w:t xml:space="preserve"> → confirmar.</w:t>
      </w:r>
    </w:p>
    <w:p>
      <w:pPr>
        <w:pStyle w:val="ListNumber"/>
        <w:ind w:left="340"/>
      </w:pPr>
      <w:r>
        <w:t xml:space="preserve">Salvar o </w:t>
      </w:r>
      <w:r>
        <w:rPr>
          <w:b/>
        </w:rPr>
        <w:t>Recibo Eletrônico de Protocolo</w:t>
      </w:r>
      <w:r>
        <w:t xml:space="preserve"> (PDF) e anotar o </w:t>
      </w:r>
      <w:r>
        <w:rPr>
          <w:b/>
        </w:rPr>
        <w:t>número do processo</w:t>
      </w:r>
      <w:r>
        <w:t>.</w:t>
      </w:r>
    </w:p>
    <w:p>
      <w:pPr>
        <w:pStyle w:val="ListNumber"/>
        <w:ind w:left="340"/>
      </w:pPr>
      <w:r>
        <w:t>Repetir os passos 1 a 9 para o segundo processo (TCU).</w:t>
      </w:r>
    </w:p>
    <w:p>
      <w:pPr>
        <w:pStyle w:val="ListNumber"/>
        <w:ind w:left="340"/>
      </w:pPr>
      <w:r>
        <w:t xml:space="preserve">Registrar os dois números de processo na planilha </w:t>
      </w:r>
      <w:r>
        <w:rPr>
          <w:rFonts w:ascii="Consolas" w:hAnsi="Consolas"/>
          <w:sz w:val="18"/>
        </w:rPr>
        <w:t>docs/ex-tarifario-factiun-acompanhamento.xlsx</w:t>
      </w:r>
      <w:r>
        <w:t xml:space="preserve"> (aba Cronograma) e enviar os recibos para gcaires@videltel.com.br, jadam@videltel.com.br e para a Factiun (Iñigo, Tony).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5. Depois do protocolo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Evento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 que fazer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Prazo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Exigência / pedido de complementação do MDIC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Responder </w:t>
            </w:r>
            <w:r>
              <w:rPr>
                <w:b/>
                <w:sz w:val="18"/>
              </w:rPr>
              <w:t>somente por Peticionamento Intercorrente</w:t>
            </w:r>
            <w:r>
              <w:rPr>
                <w:sz w:val="18"/>
              </w:rPr>
              <w:t xml:space="preserve"> no mesmo processo (e-mail não integra o processo)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 dias úteis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Consulta pública (Portal do Ex-tarifário — Painel de Consultas Públicas)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Monitorar semanalmente; verificar se o texto publicado é o pleiteado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 dias corridos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Contestação de fabricante nacional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Réplica por Intercorrente com o kit pronto: comparativo ponto a ponto, capacidade real do contestante, prazo de entrega, laudo CREA, atestado ABIMAQ, consultas documentadas. </w:t>
            </w:r>
            <w:r>
              <w:rPr>
                <w:b/>
                <w:sz w:val="18"/>
              </w:rPr>
              <w:t>Silêncio = desistência e arquivamento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 dias úteis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Juntada de ABIMAQ / laudo CREA / PVsyst atualizado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Peticionamento Intercorrente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antes do fim da CP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Decisão do Gecex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Resolução publicada no DOU; vigência a partir da publicação, </w:t>
            </w:r>
            <w:r>
              <w:rPr>
                <w:b/>
                <w:sz w:val="18"/>
              </w:rPr>
              <w:t>sem retroatividade</w:t>
            </w:r>
            <w:r>
              <w:rPr>
                <w:sz w:val="18"/>
              </w:rPr>
              <w:t xml:space="preserve"> para DI anterior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Verificação de rotina do processo no SEI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Adailton, semanal, no acesso externo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contínuo</w:t>
            </w:r>
          </w:p>
        </w:tc>
      </w:tr>
    </w:tbl>
    <w:p/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6. Contatos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Assunto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Contato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Dúvidas de rito (Divisão de Ex-tarifário MDIC)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extarifario@mdic.gov.br (digitar à mão; o link do site aponta para endereço extinto)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Consultas públicas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sdp.extarifario@mdic.gov.br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Cadastro de usuário externo (MGI)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sei@gestao.gov.br · https://colaboragov.sei.gov.br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Modelos oficiais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gov.br/mdic/pt-br/assuntos/sdic/ex-tarifario/encaminhar-pleito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Videl — procurador / usuário SEI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Gearlison Caires · gcaires@videltel.com.br · +55 11 94376-0266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Videl — condução do processo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José Adailton Santos · jadam@videltel.com.br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Factiun — documentação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Iñigo Bonilla · Johana Alcalde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Factiun — representante legal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Tony Wellington Lamenha Lins · twlamenha@factiun.com</w:t>
            </w:r>
          </w:p>
        </w:tc>
      </w:tr>
    </w:tbl>
    <w:p/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7. Resumo de uma linha por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Processo</w:t>
            </w:r>
          </w:p>
        </w:tc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NCM</w:t>
            </w:r>
          </w:p>
        </w:tc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II</w:t>
            </w:r>
          </w:p>
        </w:tc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Pleito</w:t>
            </w:r>
          </w:p>
        </w:tc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Descrição (Ex pretendido)</w:t>
            </w:r>
          </w:p>
        </w:tc>
        <w:tc>
          <w:tcPr>
            <w:tcW w:type="dxa" w:w="1425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Nº do processo SEI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 — Amortecedor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8479.90.90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BK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Amortecedores hidráulicos para seguidores solares fotovoltaicos, força 3.300–8.650 N, curso 381 mm, tração ≥ 20 kN, -20 a +60 °C, ASTM B117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2 — TCU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8479.90.90*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BK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Unidades eletrônicas de controle de seguidores solares, rastreamento e backtracking, Zigbee/BLE/RS485, OTA, IP65/NEMA 3R, IEC 62817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[ ]</w:t>
            </w:r>
          </w:p>
        </w:tc>
      </w:tr>
    </w:tbl>
    <w:p/>
    <w:p>
      <w:r>
        <w:t>\</w:t>
      </w:r>
      <w:r>
        <w:rPr>
          <w:i/>
        </w:rPr>
        <w:t xml:space="preserve"> Salvo parecer de classificação contrário do despachante (alternativa 8517.62.59, BIT, 20%). Seja qual for, </w:t>
      </w:r>
      <w:r>
        <w:rPr>
          <w:i/>
        </w:rPr>
        <w:t>a mesma NCM em todos os documentos do processo</w:t>
      </w:r>
      <w:r>
        <w:rPr>
          <w:i/>
        </w:rPr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