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color w:val="0E4F63"/>
        </w:rPr>
        <w:t>01 — Catálogo original do fabricante (IED, Espanha) — instruções</w:t>
      </w:r>
    </w:p>
    <w:p>
      <w:r>
        <w:rPr>
          <w:b/>
        </w:rPr>
        <w:t>Situação em 02/09:</w:t>
      </w:r>
      <w:r>
        <w:t xml:space="preserve"> o dossiê tem o datasheet do fabricante </w:t>
      </w:r>
      <w:r>
        <w:rPr>
          <w:b/>
        </w:rPr>
        <w:t>em espanhol, sem tradução</w:t>
      </w:r>
      <w:r>
        <w:t>, e a memória técnica cita a marca comercial. O catálogo é aceito como documento estrangeiro, mas precisa de tradução simples para o português e não pode ser o único lastro dos parâmetros.</w:t>
      </w:r>
    </w:p>
    <w:p>
      <w:pPr>
        <w:pStyle w:val="Heading2"/>
      </w:pPr>
      <w:r>
        <w:rPr>
          <w:color w:val="0E4F63"/>
        </w:rPr>
        <w:t>O que pedir à IED (via Factiun — Iñigo Bonilla), até 08/09</w:t>
      </w:r>
    </w:p>
    <w:p>
      <w:pPr>
        <w:pStyle w:val="ListNumber"/>
        <w:ind w:left="340"/>
      </w:pPr>
      <w:r>
        <w:rPr>
          <w:b/>
        </w:rPr>
        <w:t>Datasheet/catálogo oficial em PDF nativo</w:t>
      </w:r>
      <w:r>
        <w:t xml:space="preserve"> (texto selecionável), com identificação do fabricante, cobrindo, de forma verificável:</w:t>
      </w:r>
    </w:p>
    <w:p>
      <w:pPr>
        <w:pStyle w:val="ListBullet"/>
        <w:ind w:left="680"/>
      </w:pPr>
      <w:r>
        <w:t xml:space="preserve">algoritmos de rastreamento solar e de </w:t>
      </w:r>
      <w:r>
        <w:rPr>
          <w:b/>
        </w:rPr>
        <w:t>backtracking</w:t>
      </w:r>
      <w:r>
        <w:t xml:space="preserve"> para terrenos inclinados</w:t>
      </w:r>
    </w:p>
    <w:p>
      <w:pPr>
        <w:pStyle w:val="ListBullet"/>
        <w:ind w:left="680"/>
      </w:pPr>
      <w:r>
        <w:t xml:space="preserve">comunicação </w:t>
      </w:r>
      <w:r>
        <w:rPr>
          <w:b/>
        </w:rPr>
        <w:t>Zigbee</w:t>
      </w:r>
      <w:r>
        <w:t xml:space="preserve">, </w:t>
      </w:r>
      <w:r>
        <w:rPr>
          <w:b/>
        </w:rPr>
        <w:t>Bluetooth Low Energy</w:t>
      </w:r>
      <w:r>
        <w:t xml:space="preserve"> e serial </w:t>
      </w:r>
      <w:r>
        <w:rPr>
          <w:b/>
        </w:rPr>
        <w:t>RS485</w:t>
      </w:r>
    </w:p>
    <w:p>
      <w:pPr>
        <w:pStyle w:val="ListBullet"/>
        <w:ind w:left="680"/>
      </w:pPr>
      <w:r>
        <w:t>atualização remota de firmware (</w:t>
      </w:r>
      <w:r>
        <w:rPr>
          <w:b/>
        </w:rPr>
        <w:t>OTA</w:t>
      </w:r>
      <w:r>
        <w:t>)</w:t>
      </w:r>
    </w:p>
    <w:p>
      <w:pPr>
        <w:pStyle w:val="ListBullet"/>
        <w:ind w:left="680"/>
      </w:pPr>
      <w:r>
        <w:t xml:space="preserve">grau de proteção </w:t>
      </w:r>
      <w:r>
        <w:rPr>
          <w:b/>
        </w:rPr>
        <w:t>IP65 / NEMA 3R</w:t>
      </w:r>
    </w:p>
    <w:p>
      <w:pPr>
        <w:pStyle w:val="ListBullet"/>
        <w:ind w:left="680"/>
      </w:pPr>
      <w:r>
        <w:t xml:space="preserve">conformidade com </w:t>
      </w:r>
      <w:r>
        <w:rPr>
          <w:b/>
        </w:rPr>
        <w:t>IEC 62817</w:t>
      </w:r>
    </w:p>
    <w:p>
      <w:pPr>
        <w:pStyle w:val="ListBullet"/>
        <w:ind w:left="680"/>
      </w:pPr>
      <w:r>
        <w:t>7 posições de segurança (se constar)</w:t>
      </w:r>
    </w:p>
    <w:p>
      <w:pPr>
        <w:pStyle w:val="ListBullet"/>
        <w:ind w:left="680"/>
      </w:pPr>
      <w:r>
        <w:t>tensão de alimentação, consumo e faixa de temperatura (para a memória técnica)</w:t>
      </w:r>
    </w:p>
    <w:p>
      <w:pPr>
        <w:pStyle w:val="ListNumber"/>
        <w:ind w:left="340"/>
      </w:pPr>
      <w:r>
        <w:rPr>
          <w:b/>
        </w:rPr>
        <w:t>Tradução simples para o português</w:t>
      </w:r>
      <w:r>
        <w:t xml:space="preserve"> do datasheet (pode ser feita pela Videl), anexada ao final do mesmo PDF.</w:t>
      </w:r>
    </w:p>
    <w:p>
      <w:pPr>
        <w:pStyle w:val="Heading2"/>
      </w:pPr>
      <w:r>
        <w:rPr>
          <w:color w:val="0E4F63"/>
        </w:rPr>
        <w:t>Como anexar no SEI</w:t>
      </w:r>
    </w:p>
    <w:p>
      <w:pPr>
        <w:pStyle w:val="ListBullet"/>
        <w:ind w:left="340"/>
      </w:pPr>
      <w:r>
        <w:rPr>
          <w:rFonts w:ascii="Consolas" w:hAnsi="Consolas"/>
          <w:sz w:val="18"/>
        </w:rPr>
        <w:t>TCU_01_Catalogo_Fabricante.pdf</w:t>
      </w:r>
      <w:r>
        <w:t xml:space="preserve"> — </w:t>
      </w:r>
      <w:r>
        <w:rPr>
          <w:b/>
        </w:rPr>
        <w:t>sozinho</w:t>
      </w:r>
      <w:r>
        <w:t xml:space="preserve"> no campo de catálogo; publicado na íntegra na consulta pública.</w:t>
      </w:r>
    </w:p>
    <w:p>
      <w:pPr>
        <w:pStyle w:val="ListBullet"/>
        <w:ind w:left="340"/>
      </w:pPr>
      <w:r>
        <w:t xml:space="preserve">A marca e o modelo </w:t>
      </w:r>
      <w:r>
        <w:rPr>
          <w:b/>
        </w:rPr>
        <w:t>podem</w:t>
      </w:r>
      <w:r>
        <w:t xml:space="preserve"> constar no catálogo (é o documento do fabricante); </w:t>
      </w:r>
      <w:r>
        <w:rPr>
          <w:b/>
        </w:rPr>
        <w:t>não podem</w:t>
      </w:r>
      <w:r>
        <w:t xml:space="preserve"> constar na descrição do Ex, na memória nem na carta.</w:t>
      </w:r>
    </w:p>
    <w:p>
      <w:pPr>
        <w:pStyle w:val="ListBullet"/>
        <w:ind w:left="340"/>
      </w:pPr>
      <w:r>
        <w:t>≤ 30 MB, pesquisável.</w:t>
      </w:r>
    </w:p>
    <w:sectPr w:rsidR="00FC693F" w:rsidRPr="0006063C" w:rsidSect="00034616">
      <w:pgSz w:w="12240" w:h="15840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