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f1f1f"/>
          <w:sz w:val="24"/>
          <w:szCs w:val="24"/>
          <w:highlight w:val="yellow"/>
        </w:rPr>
      </w:pPr>
      <w:r w:rsidDel="00000000" w:rsidR="00000000" w:rsidRPr="00000000">
        <w:rPr>
          <w:color w:val="1f1f1f"/>
          <w:sz w:val="24"/>
          <w:szCs w:val="24"/>
          <w:highlight w:val="yellow"/>
          <w:rtl w:val="0"/>
        </w:rPr>
        <w:t xml:space="preserve">Full Abstract/Proposal (</w:t>
      </w:r>
      <w:r w:rsidDel="00000000" w:rsidR="00000000" w:rsidRPr="00000000">
        <w:rPr>
          <w:b w:val="1"/>
          <w:bCs w:val="1"/>
          <w:color w:val="1f1f1f"/>
          <w:sz w:val="24"/>
          <w:szCs w:val="24"/>
          <w:highlight w:val="yellow"/>
          <w:rtl w:val="0"/>
        </w:rPr>
        <w:t xml:space="preserve">500 words maximum</w:t>
      </w:r>
      <w:r w:rsidDel="00000000" w:rsidR="00000000" w:rsidRPr="00000000">
        <w:rPr>
          <w:color w:val="1f1f1f"/>
          <w:sz w:val="24"/>
          <w:szCs w:val="24"/>
          <w:highlight w:val="yellow"/>
          <w:rtl w:val="0"/>
        </w:rPr>
        <w:t xml:space="preserve">). Please upload a PDF document that explains in detail </w:t>
      </w:r>
      <w:r w:rsidDel="00000000" w:rsidR="00000000" w:rsidRPr="00000000">
        <w:rPr>
          <w:b w:val="1"/>
          <w:bCs w:val="1"/>
          <w:color w:val="1f1f1f"/>
          <w:sz w:val="24"/>
          <w:szCs w:val="24"/>
          <w:highlight w:val="yellow"/>
          <w:rtl w:val="0"/>
        </w:rPr>
        <w:t xml:space="preserve">(1) what you plan to present and (2) why your presentation would be a good fit for this event. It is recommended that research project proposals should include a summary of the literature review and/or project motivation, hypotheses, research methods, findings, and/or implications for practice. </w:t>
      </w:r>
      <w:r w:rsidDel="00000000" w:rsidR="00000000" w:rsidRPr="00000000">
        <w:rPr>
          <w:color w:val="1f1f1f"/>
          <w:sz w:val="24"/>
          <w:szCs w:val="24"/>
          <w:highlight w:val="yellow"/>
          <w:rtl w:val="0"/>
        </w:rPr>
        <w:t xml:space="preserve">Please also include the names and affiliations of any co-authors, whether presenting or non-presenting.</w:t>
      </w:r>
    </w:p>
    <w:p w:rsidR="00000000" w:rsidDel="00000000" w:rsidP="00000000" w:rsidRDefault="00000000" w:rsidRPr="00000000" w14:paraId="00000002">
      <w:pPr>
        <w:rPr>
          <w:color w:val="1f1f1f"/>
          <w:sz w:val="24"/>
          <w:szCs w:val="24"/>
          <w:highlight w:val="white"/>
        </w:rPr>
      </w:pPr>
      <w:r w:rsidDel="00000000" w:rsidR="00000000" w:rsidRPr="00000000">
        <w:rPr>
          <w:rtl w:val="0"/>
        </w:rPr>
      </w:r>
    </w:p>
    <w:p w:rsidR="00000000" w:rsidDel="00000000" w:rsidP="00000000" w:rsidRDefault="00000000" w:rsidRPr="00000000" w14:paraId="00000003">
      <w:pPr>
        <w:spacing w:line="276.0005454545455"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Improving regional wildfire risk assessment frameworks by including the probability of ignition sources</w:t>
      </w:r>
    </w:p>
    <w:p w:rsidR="00000000" w:rsidDel="00000000" w:rsidP="00000000" w:rsidRDefault="00000000" w:rsidRPr="00000000" w14:paraId="00000004">
      <w:pPr>
        <w:spacing w:line="276.0005454545455"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Gabriela Calana Somoza, Neetesh Sharma, Jack W. Baker</w:t>
      </w:r>
    </w:p>
    <w:p w:rsidR="00000000" w:rsidDel="00000000" w:rsidP="00000000" w:rsidRDefault="00000000" w:rsidRPr="00000000" w14:paraId="00000005">
      <w:pPr>
        <w:spacing w:line="276.0005454545455" w:lineRule="auto"/>
        <w:jc w:val="center"/>
        <w:rPr>
          <w:color w:val="1f1f1f"/>
          <w:sz w:val="24"/>
          <w:szCs w:val="24"/>
          <w:highlight w:val="white"/>
        </w:rPr>
      </w:pP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Wildfires represent a growing threat to communities in the wildland-urban interface (WUI) driven by climate change, building development, and inadequate fuel management. These compounding factors have significantly heightened the vulnerability of both natural ecosystems and communities. Wildfires related to failures of power system equipment, such as transmission and distribution lines, have historically represented a significant portion of these hazardous events </w:t>
      </w:r>
      <w:commentRangeStart w:id="0"/>
      <w:r w:rsidDel="00000000" w:rsidR="00000000" w:rsidRPr="00000000">
        <w:rPr>
          <w:rFonts w:ascii="Times New Roman" w:cs="Times New Roman" w:eastAsia="Times New Roman" w:hAnsi="Times New Roman"/>
          <w:color w:val="1f1f1f"/>
          <w:sz w:val="24"/>
          <w:szCs w:val="24"/>
          <w:highlight w:val="white"/>
          <w:rtl w:val="0"/>
        </w:rPr>
        <w:t xml:space="preserve">(Jazebi et al., 2019)</w:t>
      </w:r>
      <w:commentRangeEnd w:id="0"/>
      <w:r w:rsidDel="00000000" w:rsidR="00000000" w:rsidRPr="00000000">
        <w:commentReference w:id="0"/>
      </w:r>
      <w:r w:rsidDel="00000000" w:rsidR="00000000" w:rsidRPr="00000000">
        <w:rPr>
          <w:rFonts w:ascii="Times New Roman" w:cs="Times New Roman" w:eastAsia="Times New Roman" w:hAnsi="Times New Roman"/>
          <w:color w:val="1f1f1f"/>
          <w:sz w:val="24"/>
          <w:szCs w:val="24"/>
          <w:highlight w:val="white"/>
          <w:rtl w:val="0"/>
        </w:rPr>
        <w:t xml:space="preserve">. In California, 40% of the most destructive wildfires in history have been attributed to electrical infrastructure or powerlines (CAL FIRE, 2023). PG&amp;E reported 468 ignitions in its transmission and distribution lines in 2022 alone (Guzman-Morales et al., 2016), and a paper by (Mitchell, 2013) showed that power line fires average ten times larger than other fires. Furthermore, studies have found that California’s wildfires tend to be ignited in regions with high temperature, high vapor pressure deficit, wide grass cover, and away from communities (Li and Banerjee, 2021). However, even if fires ignite outside communities, if wind conditions are extreme and drought indices are high, wildfire spread can exceed suppression efforts, leading to conflagrations like the 2025 LA Wildfires (GuzmanMorales et al., 2025). The January 2025 wildfires in Los Angeles highlighted the severe threat wildfires present to communities, demonstrating the importance of identifying the levels of wildfire risk across communities to mitigate the potential impacts of wildfire events. </w:t>
      </w:r>
    </w:p>
    <w:p w:rsidR="00000000" w:rsidDel="00000000" w:rsidP="00000000" w:rsidRDefault="00000000" w:rsidRPr="00000000" w14:paraId="00000007">
      <w:pP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Despite this risk, regional ignition models that explicitly incorporate utility infrastructure remain limited, and existing risk frameworks rarely integrate ignition, spread, damage, and loss in a unified workflow. Therefore, this work aims to develop a comprehensive regional wildfire risk framework that begins by developing ignition models for different sources of ignition using parametric Poisson Point Process analysis to quantify the rate of ignitions across power utility networks and space as a function of spatial variables, as well as considering weather variables such as temperature and wind as weight factors. Then, using the results from the ignition model, this study employs state-of-the-art models to conduct wildfire spread simulations under various weather parameters. Next, the damage is assessed in each wildfire simulation and quantified across different levels of destruction in the community. Lastly, the quantified risk represents the expected losses the community could foresee, calculated as the weighted sum of wildfire probabilities multiplied by the respective losses. </w:t>
      </w:r>
    </w:p>
    <w:p w:rsidR="00000000" w:rsidDel="00000000" w:rsidP="00000000" w:rsidRDefault="00000000" w:rsidRPr="00000000" w14:paraId="00000009">
      <w:pP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This framework has been applied to Sonoma County, a vulnerable region that has experience some of the most catastrophic wildfires from different types of ignition sources. The application of the framework provides this community with rate of ignition maps and estimates of expected community losses, providing actionable information to support preparedness planning and mitigation efforts. Therefore, this presentation is a good fit for this event, because it advances a decision-relevant wildfire risk framework that connects ignition probability, wildfire spread, and community-level losses. The Sonoma County case study demonstrates how the proposed framework can be applied in practice to support community preparedness planning, utility risk mitigation strategies, and prioritization of risk-reduction investments, aligning closely with the event’s focus on applied research and real-world impact.</w:t>
      </w:r>
    </w:p>
    <w:p w:rsidR="00000000" w:rsidDel="00000000" w:rsidP="00000000" w:rsidRDefault="00000000" w:rsidRPr="00000000" w14:paraId="0000000B">
      <w:pP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0C">
      <w:pPr>
        <w:spacing w:line="276.0005454545455" w:lineRule="auto"/>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0D">
      <w:pPr>
        <w:rPr>
          <w:color w:val="1f1f1f"/>
          <w:sz w:val="24"/>
          <w:szCs w:val="24"/>
          <w:highlight w:val="white"/>
        </w:rPr>
      </w:pPr>
      <w:r w:rsidDel="00000000" w:rsidR="00000000" w:rsidRPr="00000000">
        <w:rPr>
          <w:rtl w:val="0"/>
        </w:rPr>
      </w:r>
    </w:p>
    <w:p w:rsidR="00000000" w:rsidDel="00000000" w:rsidP="00000000" w:rsidRDefault="00000000" w:rsidRPr="00000000" w14:paraId="0000000E">
      <w:pPr>
        <w:rPr>
          <w:color w:val="1f1f1f"/>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abriela Calana" w:id="0" w:date="2026-01-26T19:37:43Z">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I include the references and provide a reference list at the end?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