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60E18" w:rsidRDefault="00000000">
      <w:pPr>
        <w:pStyle w:val="Heading1"/>
      </w:pPr>
      <w:bookmarkStart w:id="0" w:name="_w8lsk0kjgeqs" w:colFirst="0" w:colLast="0"/>
      <w:bookmarkEnd w:id="0"/>
      <w:r>
        <w:t>Modern Monetary Theory: Economic Word Magic?</w:t>
      </w:r>
    </w:p>
    <w:p w14:paraId="00000002" w14:textId="77777777" w:rsidR="00260E18" w:rsidRDefault="00260E18"/>
    <w:p w14:paraId="00000003" w14:textId="77777777" w:rsidR="00260E18" w:rsidRDefault="00260E18"/>
    <w:p w14:paraId="00000004" w14:textId="77777777" w:rsidR="00260E18" w:rsidRDefault="00000000">
      <w:pPr>
        <w:rPr>
          <w:szCs w:val="24"/>
        </w:rPr>
      </w:pPr>
      <w:r>
        <w:rPr>
          <w:szCs w:val="24"/>
        </w:rPr>
        <w:t>Robert P. Murphy</w:t>
      </w:r>
      <w:r>
        <w:rPr>
          <w:szCs w:val="24"/>
          <w:vertAlign w:val="superscript"/>
        </w:rPr>
        <w:footnoteReference w:id="1"/>
      </w:r>
      <w:r>
        <w:rPr>
          <w:szCs w:val="24"/>
        </w:rPr>
        <w:t xml:space="preserve"> and </w:t>
      </w:r>
      <w:hyperlink r:id="rId6">
        <w:r>
          <w:rPr>
            <w:color w:val="0000EE"/>
            <w:szCs w:val="24"/>
            <w:u w:val="single"/>
          </w:rPr>
          <w:t>Gene Callahan</w:t>
        </w:r>
      </w:hyperlink>
      <w:r>
        <w:rPr>
          <w:szCs w:val="24"/>
          <w:vertAlign w:val="superscript"/>
        </w:rPr>
        <w:footnoteReference w:id="2"/>
      </w:r>
    </w:p>
    <w:p w14:paraId="00000005" w14:textId="77777777" w:rsidR="00260E18" w:rsidRDefault="00260E18"/>
    <w:p w14:paraId="00000006" w14:textId="77777777" w:rsidR="00260E18" w:rsidRDefault="00000000">
      <w:pPr>
        <w:pStyle w:val="Heading2"/>
      </w:pPr>
      <w:bookmarkStart w:id="1" w:name="_3s1v9zeuv6fz" w:colFirst="0" w:colLast="0"/>
      <w:bookmarkEnd w:id="1"/>
      <w:r>
        <w:t>Introduction</w:t>
      </w:r>
    </w:p>
    <w:p w14:paraId="00000007" w14:textId="77777777" w:rsidR="00260E18" w:rsidRDefault="00260E18"/>
    <w:p w14:paraId="00000008" w14:textId="77777777" w:rsidR="00260E18" w:rsidRDefault="00000000">
      <w:pPr>
        <w:rPr>
          <w:szCs w:val="24"/>
        </w:rPr>
      </w:pPr>
      <w:r>
        <w:rPr>
          <w:szCs w:val="24"/>
        </w:rPr>
        <w:t>An economic doctrine called "modern monetary theory" (henceforth MMT) has enjoyed steadily growing popularity in recent years. For example, MMT guru Stephanie Kelton's TED talk from 2021 has some 451,000 views. So what is this "modern" theory? What elements does it share with earlier theories, and what is truly novel about it?</w:t>
      </w:r>
    </w:p>
    <w:p w14:paraId="00000009" w14:textId="77777777" w:rsidR="00260E18" w:rsidRDefault="00260E18">
      <w:pPr>
        <w:rPr>
          <w:szCs w:val="24"/>
        </w:rPr>
      </w:pPr>
    </w:p>
    <w:p w14:paraId="0000000A" w14:textId="77777777" w:rsidR="00260E18" w:rsidRDefault="00000000">
      <w:pPr>
        <w:rPr>
          <w:szCs w:val="24"/>
        </w:rPr>
      </w:pPr>
      <w:r>
        <w:rPr>
          <w:szCs w:val="24"/>
        </w:rPr>
        <w:t>This paper will argue that significant elements of MMT are not particularly modern at all, at least by the age standards of economic theory. There are strong elements of Keynesian macroeconomics present, as MMT's proponents focus a good deal on using fiscal stimulus to put unemployed resources to work. And of course Keynes's ideas of the 1930s have their own predecessors in the debate over Say's Law in the early nineteenth century (Sowell 1972).</w:t>
      </w:r>
    </w:p>
    <w:p w14:paraId="0000000B" w14:textId="77777777" w:rsidR="00260E18" w:rsidRDefault="00260E18">
      <w:pPr>
        <w:rPr>
          <w:szCs w:val="24"/>
        </w:rPr>
      </w:pPr>
    </w:p>
    <w:p w14:paraId="0000000C" w14:textId="77777777" w:rsidR="00260E18" w:rsidRDefault="00000000">
      <w:pPr>
        <w:rPr>
          <w:szCs w:val="24"/>
        </w:rPr>
      </w:pPr>
      <w:r>
        <w:rPr>
          <w:szCs w:val="24"/>
        </w:rPr>
        <w:t xml:space="preserve">The more exact predecessor of MMT is Abba Lerner’s “functional finance,” with Lerner </w:t>
      </w:r>
      <w:hyperlink r:id="rId7">
        <w:r>
          <w:rPr>
            <w:color w:val="1155CC"/>
            <w:szCs w:val="24"/>
            <w:u w:val="single"/>
          </w:rPr>
          <w:t>(1943)</w:t>
        </w:r>
      </w:hyperlink>
      <w:r>
        <w:rPr>
          <w:szCs w:val="24"/>
        </w:rPr>
        <w:t xml:space="preserve"> himself arguing that he was taking the Keynesian fiscal insights to their logical conclusion. In practical terms, Lerner’s approach popularized the notion that the public debt poses no burden to society as a whole, so long as “we owe it to ourselves.”</w:t>
      </w:r>
    </w:p>
    <w:p w14:paraId="0000000D" w14:textId="77777777" w:rsidR="00260E18" w:rsidRDefault="00260E18">
      <w:pPr>
        <w:rPr>
          <w:szCs w:val="24"/>
        </w:rPr>
      </w:pPr>
    </w:p>
    <w:p w14:paraId="00000011" w14:textId="0F10DC22" w:rsidR="00260E18" w:rsidRPr="00C73B3B" w:rsidRDefault="00000000">
      <w:pPr>
        <w:rPr>
          <w:szCs w:val="24"/>
        </w:rPr>
      </w:pPr>
      <w:r>
        <w:rPr>
          <w:szCs w:val="24"/>
        </w:rPr>
        <w:t xml:space="preserve">Then just what is "modern" about MMT? We concede that if one watches Warren Mosler or Stephanie Kelton give a public talk, it definitely </w:t>
      </w:r>
      <w:r>
        <w:rPr>
          <w:i/>
          <w:szCs w:val="24"/>
        </w:rPr>
        <w:t xml:space="preserve">feels </w:t>
      </w:r>
      <w:r>
        <w:rPr>
          <w:szCs w:val="24"/>
        </w:rPr>
        <w:t xml:space="preserve">new. Yet this paper attempts to demonstrate that most of the truly original content of the theory is an </w:t>
      </w:r>
      <w:r>
        <w:rPr>
          <w:szCs w:val="24"/>
        </w:rPr>
        <w:lastRenderedPageBreak/>
        <w:t>attempt to deal with the problem of the genuine scarcity of real resources by means of word magic.</w:t>
      </w:r>
    </w:p>
    <w:p w14:paraId="00000012" w14:textId="77777777" w:rsidR="00260E18" w:rsidRDefault="00000000">
      <w:pPr>
        <w:pStyle w:val="Heading2"/>
      </w:pPr>
      <w:bookmarkStart w:id="2" w:name="_25dwxwf0ilcr" w:colFirst="0" w:colLast="0"/>
      <w:bookmarkEnd w:id="2"/>
      <w:r>
        <w:t>How Is Magic Relevant to Analyzing MMT?</w:t>
      </w:r>
    </w:p>
    <w:p w14:paraId="00000013" w14:textId="77777777" w:rsidR="00260E18" w:rsidRDefault="00000000">
      <w:pPr>
        <w:rPr>
          <w:szCs w:val="24"/>
        </w:rPr>
      </w:pPr>
      <w:r>
        <w:rPr>
          <w:szCs w:val="24"/>
        </w:rPr>
        <w:t>It might seem bizarre to talk about magic when analyzing a currently popular economic theory. However, the scholars Mircea Eliade (1978) and Eric Voegelin (1990) have demonstrated that magical thinking was not something extinguished with the Scientific Revolution. (Or even shortly thereafter: Keynes described Newton as "the last magician," but he was wrong about that: Newton was hardly the last.</w:t>
      </w:r>
      <w:r>
        <w:rPr>
          <w:szCs w:val="24"/>
          <w:vertAlign w:val="superscript"/>
        </w:rPr>
        <w:footnoteReference w:id="3"/>
      </w:r>
      <w:r>
        <w:rPr>
          <w:szCs w:val="24"/>
        </w:rPr>
        <w:t>)</w:t>
      </w:r>
    </w:p>
    <w:p w14:paraId="00000014" w14:textId="77777777" w:rsidR="00260E18" w:rsidRDefault="00260E18">
      <w:pPr>
        <w:rPr>
          <w:szCs w:val="24"/>
        </w:rPr>
      </w:pPr>
    </w:p>
    <w:p w14:paraId="00000015" w14:textId="77777777" w:rsidR="00260E18" w:rsidRDefault="00000000">
      <w:pPr>
        <w:rPr>
          <w:szCs w:val="24"/>
        </w:rPr>
      </w:pPr>
      <w:r>
        <w:rPr>
          <w:szCs w:val="24"/>
        </w:rPr>
        <w:t xml:space="preserve">In Mircea Eliade’s 1956 book </w:t>
      </w:r>
      <w:r>
        <w:rPr>
          <w:i/>
          <w:szCs w:val="24"/>
        </w:rPr>
        <w:t>The Forge and the Crucible</w:t>
      </w:r>
      <w:r>
        <w:rPr>
          <w:szCs w:val="24"/>
        </w:rPr>
        <w:t xml:space="preserve"> (translated into English in 1978), he traces how the world view associated with metallurgy and mining gradually gave birth to alchemy, and how that world view often made utopian promises about what these new technologies could achieve.</w:t>
      </w:r>
    </w:p>
    <w:p w14:paraId="00000016" w14:textId="77777777" w:rsidR="00260E18" w:rsidRDefault="00260E18">
      <w:pPr>
        <w:rPr>
          <w:szCs w:val="24"/>
        </w:rPr>
      </w:pPr>
    </w:p>
    <w:p w14:paraId="00000017" w14:textId="77777777" w:rsidR="00260E18" w:rsidRDefault="00000000">
      <w:pPr>
        <w:rPr>
          <w:szCs w:val="24"/>
        </w:rPr>
      </w:pPr>
      <w:r>
        <w:rPr>
          <w:szCs w:val="24"/>
        </w:rPr>
        <w:t>Eliade’s central thesis is that, historically, mining, metallurgy, and alchemy were all essentially spiritual practices. That claim may be surprising to many readers. Typically, alchemy is thought of as primitive chemistry—attempting to turn lead into gold—and metallurgy and mining as purely practical activities. But Eliade demonstrates that all three fields always involved mystical, occult ideas that saw these activities as far more than mere technical disciplines. As he put it:</w:t>
      </w:r>
    </w:p>
    <w:p w14:paraId="00000018" w14:textId="77777777" w:rsidR="00260E18" w:rsidRDefault="00000000">
      <w:pPr>
        <w:rPr>
          <w:szCs w:val="24"/>
        </w:rPr>
      </w:pPr>
      <w:r>
        <w:rPr>
          <w:szCs w:val="24"/>
        </w:rPr>
        <w:t xml:space="preserve"> </w:t>
      </w:r>
    </w:p>
    <w:p w14:paraId="00000019" w14:textId="77777777" w:rsidR="00260E18" w:rsidRDefault="00000000">
      <w:pPr>
        <w:rPr>
          <w:szCs w:val="24"/>
        </w:rPr>
      </w:pPr>
      <w:r>
        <w:rPr>
          <w:szCs w:val="24"/>
        </w:rPr>
        <w:t xml:space="preserve">"What the smelter, smith and alchemist have in common is that all three lay claim to a particular magico-religious experience in their relations with matter; this experience is their monopoly and its secret is transmitted through the initiatory rites of their trades. All three work on a Matter which they hold to be at once alive and sacred, and in their </w:t>
      </w:r>
      <w:proofErr w:type="spellStart"/>
      <w:r>
        <w:rPr>
          <w:szCs w:val="24"/>
        </w:rPr>
        <w:t>labours</w:t>
      </w:r>
      <w:proofErr w:type="spellEnd"/>
      <w:r>
        <w:rPr>
          <w:szCs w:val="24"/>
        </w:rPr>
        <w:t xml:space="preserve"> they pursue the transformation of matter, its perfection and its transmutation." (Eliade 1978, pp. 8-9).</w:t>
      </w:r>
      <w:r>
        <w:rPr>
          <w:szCs w:val="24"/>
          <w:vertAlign w:val="superscript"/>
        </w:rPr>
        <w:footnoteReference w:id="4"/>
      </w:r>
      <w:r>
        <w:rPr>
          <w:szCs w:val="24"/>
        </w:rPr>
        <w:t xml:space="preserve"> For example, Eliade notes that miners often had to undergo ritual purification before entering mines, since they were entering the womb of Mother Earth, and animal sacrifices were often deployed to sanctify a new forge. And of particular note for our purposes is that Eliade saw the “systems of political economy” as carrying forward the alchemist’s dream (Eliade 1978, p. 173).</w:t>
      </w:r>
    </w:p>
    <w:p w14:paraId="0000001A" w14:textId="77777777" w:rsidR="00260E18" w:rsidRDefault="00260E18">
      <w:pPr>
        <w:rPr>
          <w:szCs w:val="24"/>
        </w:rPr>
      </w:pPr>
    </w:p>
    <w:p w14:paraId="0000001B" w14:textId="77777777" w:rsidR="00260E18" w:rsidRDefault="00000000">
      <w:pPr>
        <w:rPr>
          <w:szCs w:val="24"/>
        </w:rPr>
      </w:pPr>
      <w:r>
        <w:rPr>
          <w:szCs w:val="24"/>
        </w:rPr>
        <w:t xml:space="preserve">Citing Eliade, Eric Voegelin writes: "In our contemporary world, alchemist magic is primarily to be found among the ideologists who infest social sciences with their efforts </w:t>
      </w:r>
      <w:r>
        <w:rPr>
          <w:szCs w:val="24"/>
        </w:rPr>
        <w:lastRenderedPageBreak/>
        <w:t xml:space="preserve">to transform man, society, and history" (Voegelin 1990b, p. 298). And this new variety of magic was particularly focused on word magic. </w:t>
      </w:r>
    </w:p>
    <w:p w14:paraId="0000001C" w14:textId="77777777" w:rsidR="00260E18" w:rsidRDefault="00260E18">
      <w:pPr>
        <w:rPr>
          <w:szCs w:val="24"/>
        </w:rPr>
      </w:pPr>
    </w:p>
    <w:p w14:paraId="0000001E" w14:textId="2DE0C972" w:rsidR="00260E18" w:rsidRDefault="00000000">
      <w:pPr>
        <w:rPr>
          <w:szCs w:val="24"/>
        </w:rPr>
      </w:pPr>
      <w:r>
        <w:rPr>
          <w:szCs w:val="24"/>
        </w:rPr>
        <w:t xml:space="preserve">Discussing a philosopher of the stature of Hegel, Voegelin writes: "For a long time, I studiously avoided any serious criticism of Hegel in my published work, because I simply could not understand him" (Voegelin 1990b, p. 296). The final piece of the "Hegel puzzle" that fell into place for Voegelin "was Hegel's self-declaration of the </w:t>
      </w:r>
      <w:proofErr w:type="spellStart"/>
      <w:r>
        <w:rPr>
          <w:i/>
          <w:szCs w:val="24"/>
        </w:rPr>
        <w:t>Phänomonolgie</w:t>
      </w:r>
      <w:proofErr w:type="spellEnd"/>
      <w:r>
        <w:rPr>
          <w:szCs w:val="24"/>
        </w:rPr>
        <w:t xml:space="preserve"> as a work of magic"  (Voegelin 1990b, p. 297). Voegelin quotes Hegel to demonstrate that point:</w:t>
      </w:r>
    </w:p>
    <w:p w14:paraId="00000020" w14:textId="47E21C74" w:rsidR="00260E18" w:rsidRDefault="00000000" w:rsidP="00C73B3B">
      <w:pPr>
        <w:pStyle w:val="Blockquote"/>
      </w:pPr>
      <w:r>
        <w:t>The single man can elevate himself to dominance (</w:t>
      </w:r>
      <w:r>
        <w:rPr>
          <w:i/>
        </w:rPr>
        <w:t>Herrschaft</w:t>
      </w:r>
      <w:r>
        <w:t>) over an appreciable length of this chain only if he knows the direction in which the great necessity wants to move and if he learns from this knowledge to pronounce the magic words (</w:t>
      </w:r>
      <w:r>
        <w:rPr>
          <w:i/>
        </w:rPr>
        <w:t xml:space="preserve">die </w:t>
      </w:r>
      <w:proofErr w:type="spellStart"/>
      <w:r>
        <w:rPr>
          <w:i/>
        </w:rPr>
        <w:t>Zauberworte</w:t>
      </w:r>
      <w:proofErr w:type="spellEnd"/>
      <w:r>
        <w:t>) that will evoke its shape (</w:t>
      </w:r>
      <w:r>
        <w:rPr>
          <w:i/>
        </w:rPr>
        <w:t>Gestalt</w:t>
      </w:r>
      <w:r>
        <w:t>)</w:t>
      </w:r>
      <w:r w:rsidR="00C73B3B">
        <w:t>.</w:t>
      </w:r>
      <w:r>
        <w:t xml:space="preserve">  (Hegel, quoted by Voegelin 1990a, p.221).</w:t>
      </w:r>
    </w:p>
    <w:p w14:paraId="00000023" w14:textId="77777777" w:rsidR="00260E18" w:rsidRDefault="00000000">
      <w:pPr>
        <w:rPr>
          <w:szCs w:val="24"/>
        </w:rPr>
      </w:pPr>
      <w:r>
        <w:rPr>
          <w:szCs w:val="24"/>
        </w:rPr>
        <w:t xml:space="preserve">He explains that a key reason why we overlook the continued presence of magical thinking in our age is how common it is: "the </w:t>
      </w:r>
      <w:proofErr w:type="spellStart"/>
      <w:r>
        <w:rPr>
          <w:szCs w:val="24"/>
        </w:rPr>
        <w:t>messiases</w:t>
      </w:r>
      <w:proofErr w:type="spellEnd"/>
      <w:r>
        <w:rPr>
          <w:szCs w:val="24"/>
        </w:rPr>
        <w:t xml:space="preserve"> [sic] of the early nineteenth century have left so deep an imprint on the so-called modern age that we have become accustomed to their madness; our sensitivity for the element of the grotesque in their enterprise has become dulled" (Voegelin 1990a, p. 216).</w:t>
      </w:r>
    </w:p>
    <w:p w14:paraId="00000024" w14:textId="77777777" w:rsidR="00260E18" w:rsidRDefault="00260E18">
      <w:pPr>
        <w:rPr>
          <w:szCs w:val="24"/>
        </w:rPr>
      </w:pPr>
    </w:p>
    <w:p w14:paraId="00000025" w14:textId="77777777" w:rsidR="00260E18" w:rsidRDefault="00000000">
      <w:pPr>
        <w:rPr>
          <w:szCs w:val="24"/>
        </w:rPr>
      </w:pPr>
      <w:r>
        <w:rPr>
          <w:szCs w:val="24"/>
        </w:rPr>
        <w:t>For those who might wonder whether this sort of word magic is still practiced, consider the history of terms to describe people of low intelligence:</w:t>
      </w:r>
    </w:p>
    <w:p w14:paraId="00000026" w14:textId="77777777" w:rsidR="00260E18" w:rsidRDefault="00260E18">
      <w:pPr>
        <w:rPr>
          <w:szCs w:val="24"/>
        </w:rPr>
      </w:pPr>
    </w:p>
    <w:p w14:paraId="00000028" w14:textId="77777777" w:rsidR="00260E18" w:rsidRDefault="00000000" w:rsidP="00C73B3B">
      <w:pPr>
        <w:pStyle w:val="Blockquote"/>
      </w:pPr>
      <w:r>
        <w:t>In 1910, the Association of Medical Officers of American Institutions for Idiotic and Feeble-Minded Persons adopted three classifications of people we know today as intellectually disabled, as defined by a newly invented way to measure intelligence we now call the IQ test. "Morons" were the most intelligent—they had IQs between 50 and 70. "Imbeciles" with IQs between 25 and 50 were the second level. Those below 25 would remain "idiots." (Hodges 2015)</w:t>
      </w:r>
    </w:p>
    <w:p w14:paraId="0000002A" w14:textId="77777777" w:rsidR="00260E18" w:rsidRDefault="00260E18">
      <w:pPr>
        <w:rPr>
          <w:szCs w:val="24"/>
        </w:rPr>
      </w:pPr>
    </w:p>
    <w:p w14:paraId="0000002B" w14:textId="77777777" w:rsidR="00260E18" w:rsidRDefault="00000000">
      <w:pPr>
        <w:rPr>
          <w:szCs w:val="24"/>
        </w:rPr>
      </w:pPr>
      <w:r>
        <w:rPr>
          <w:szCs w:val="24"/>
        </w:rPr>
        <w:t xml:space="preserve">But all of those initially technical terms came to be used widely as insults. In reality, the problem is that people often are unkind to those of low intelligence. But that is a difficult problem to solve. So instead, an exercise in word magic took place: it was decided that these people should be called "mentally retarded," as if substituting some words for other words could solve the real problem. Of course, what happened next was that, instead, "retarded" itself came to be used as a term of abuse. But rather than face the actual difficulty, another exercise in word magic was attempted: the word "retarded" became regarded as off limits, and "intellectually disabled," or something else of that </w:t>
      </w:r>
      <w:r>
        <w:rPr>
          <w:szCs w:val="24"/>
        </w:rPr>
        <w:lastRenderedPageBreak/>
        <w:t xml:space="preserve">sort, was to be used in its place. We can predict that if such a new term becomes commonplace, it will also come to be used as a term of opprobrium--not to be uttered in polite society--while yet </w:t>
      </w:r>
      <w:r>
        <w:rPr>
          <w:i/>
          <w:szCs w:val="24"/>
        </w:rPr>
        <w:t>another</w:t>
      </w:r>
      <w:r>
        <w:rPr>
          <w:szCs w:val="24"/>
        </w:rPr>
        <w:t xml:space="preserve"> label will be coined to refer to individuals with genuinely hampered mental abilities.</w:t>
      </w:r>
    </w:p>
    <w:p w14:paraId="0000002C" w14:textId="77777777" w:rsidR="00260E18" w:rsidRDefault="00260E18">
      <w:pPr>
        <w:rPr>
          <w:szCs w:val="24"/>
        </w:rPr>
      </w:pPr>
    </w:p>
    <w:p w14:paraId="0000002D" w14:textId="77777777" w:rsidR="00260E18" w:rsidRDefault="00000000">
      <w:pPr>
        <w:rPr>
          <w:szCs w:val="24"/>
        </w:rPr>
      </w:pPr>
      <w:r>
        <w:rPr>
          <w:szCs w:val="24"/>
        </w:rPr>
        <w:t>A similar operation of word magic can be seen in the recent efforts to replace the word "homeless" with the word "unhoused." The people using the new word felt very virtuous about all they were doing for the "unhoused" by using that term, but in reality, the people thus described were still sleeping under highway bridges or on street corners in cardboard boxes, and their situation had not been improved at all by the change in vocabulary. It is darkly amusing to imagine the people currently using "unhoused" visiting encampments of such people and telling them that they were now relieved of their misery, since they were no longer "homeless."</w:t>
      </w:r>
    </w:p>
    <w:p w14:paraId="0000002E" w14:textId="77777777" w:rsidR="00260E18" w:rsidRDefault="00260E18">
      <w:pPr>
        <w:rPr>
          <w:szCs w:val="24"/>
        </w:rPr>
      </w:pPr>
    </w:p>
    <w:p w14:paraId="0000002F" w14:textId="77777777" w:rsidR="00260E18" w:rsidRDefault="00000000">
      <w:pPr>
        <w:rPr>
          <w:szCs w:val="24"/>
        </w:rPr>
      </w:pPr>
      <w:r>
        <w:rPr>
          <w:szCs w:val="24"/>
        </w:rPr>
        <w:t xml:space="preserve">Now to be sure, the people responsible for these renovations in vocabulary would presumably bristle at our description of them as </w:t>
      </w:r>
      <w:r>
        <w:rPr>
          <w:i/>
          <w:szCs w:val="24"/>
        </w:rPr>
        <w:t>mere</w:t>
      </w:r>
      <w:r>
        <w:rPr>
          <w:szCs w:val="24"/>
        </w:rPr>
        <w:t xml:space="preserve"> attempts at “word magic.” For example, someone who thinks the “problem of homelessness” can largely be solved by a sufficient government expenditure, might conclude that by changing the term to “the problem of the unhoused” the </w:t>
      </w:r>
      <w:r>
        <w:rPr>
          <w:i/>
          <w:szCs w:val="24"/>
        </w:rPr>
        <w:t>actual</w:t>
      </w:r>
      <w:r>
        <w:rPr>
          <w:szCs w:val="24"/>
        </w:rPr>
        <w:t xml:space="preserve"> issue is highlighted and thus makes the solution obvious. (The comedian George Carlin [2013] enunciated this very position in one of his riffs on language.) Even so, we hope the reader can agree that merely changing the term </w:t>
      </w:r>
      <w:r>
        <w:rPr>
          <w:i/>
          <w:szCs w:val="24"/>
        </w:rPr>
        <w:t>doesn’t make the underlying tradeoffs any easier</w:t>
      </w:r>
      <w:r>
        <w:rPr>
          <w:szCs w:val="24"/>
        </w:rPr>
        <w:t>; the hike in property taxes (say) necessary to fund more low-income housing or soup kitchens is the same, whether we label the intended beneficiaries “the homeless” or “the unhoused.”</w:t>
      </w:r>
    </w:p>
    <w:p w14:paraId="00000030" w14:textId="77777777" w:rsidR="00260E18" w:rsidRDefault="00260E18">
      <w:pPr>
        <w:rPr>
          <w:szCs w:val="24"/>
        </w:rPr>
      </w:pPr>
    </w:p>
    <w:p w14:paraId="00000031" w14:textId="77777777" w:rsidR="00260E18" w:rsidRDefault="00000000">
      <w:pPr>
        <w:rPr>
          <w:szCs w:val="24"/>
        </w:rPr>
      </w:pPr>
      <w:r>
        <w:rPr>
          <w:szCs w:val="24"/>
        </w:rPr>
        <w:t xml:space="preserve">Yet we can go further: It’s not simply that the people pushing the label change (from “homeless” to “unhoused”) aren’t </w:t>
      </w:r>
      <w:r>
        <w:rPr>
          <w:i/>
          <w:szCs w:val="24"/>
        </w:rPr>
        <w:t>helping</w:t>
      </w:r>
      <w:r>
        <w:rPr>
          <w:szCs w:val="24"/>
        </w:rPr>
        <w:t xml:space="preserve">--no, they’re actually </w:t>
      </w:r>
      <w:r>
        <w:rPr>
          <w:i/>
          <w:szCs w:val="24"/>
        </w:rPr>
        <w:t>hurting</w:t>
      </w:r>
      <w:r>
        <w:rPr>
          <w:szCs w:val="24"/>
        </w:rPr>
        <w:t xml:space="preserve"> the people they claim to help, because (a) they are taking up valuable bandwidth in the policy debate with (we claim) a pointless quibble over nomenclature and (b) to the extent that they fool people into thinking low-income housing can be provided </w:t>
      </w:r>
      <w:r>
        <w:rPr>
          <w:i/>
          <w:szCs w:val="24"/>
        </w:rPr>
        <w:t>without</w:t>
      </w:r>
      <w:r>
        <w:rPr>
          <w:szCs w:val="24"/>
        </w:rPr>
        <w:t xml:space="preserve"> taking resources away from the taxpayers, then they are bamboozling the public. As John Gray commented, these verbal manipulations are:</w:t>
      </w:r>
    </w:p>
    <w:p w14:paraId="00000033" w14:textId="239CE87E" w:rsidR="00260E18" w:rsidRDefault="00260E18">
      <w:pPr>
        <w:rPr>
          <w:szCs w:val="24"/>
        </w:rPr>
      </w:pPr>
    </w:p>
    <w:p w14:paraId="00000035" w14:textId="09B9C9D6" w:rsidR="00260E18" w:rsidRDefault="00000000" w:rsidP="00C73B3B">
      <w:pPr>
        <w:pStyle w:val="Blockquote"/>
      </w:pPr>
      <w:r>
        <w:t xml:space="preserve">the turning away from real, actually existing human hardship, and despair even, to these micro-aggressions and linguistic issues, which can, of course, be easily solved: the advantage of focusing entirely on language is that if you can gain control of the language and make a simple change from “master” to “main” [which the software GitHub did], then you think you’ve resolved something in the real world. You’ve resolved absolutely nothing in the real world; the real world goes on, but it flatters the moral </w:t>
      </w:r>
      <w:r>
        <w:lastRenderedPageBreak/>
        <w:t>vanity of those who make these changes. They don’t have to sacrifice anything; they don’t have to suffer in any way. And they don’t actually have to do anything beyond passing motions to change these terms, these words. So I think it is the avoidance of very difficult human misfortunes and in some cases human injustices by looking at signifiers of oppression, which can easily be altered, even though the world isn’t altered at all." (Callahan 2024)</w:t>
      </w:r>
    </w:p>
    <w:p w14:paraId="00000036" w14:textId="77777777" w:rsidR="00260E18" w:rsidRDefault="00260E18">
      <w:pPr>
        <w:rPr>
          <w:szCs w:val="24"/>
        </w:rPr>
      </w:pPr>
    </w:p>
    <w:p w14:paraId="00000037" w14:textId="77777777" w:rsidR="00260E18" w:rsidRDefault="00000000">
      <w:pPr>
        <w:rPr>
          <w:szCs w:val="24"/>
        </w:rPr>
      </w:pPr>
      <w:r>
        <w:rPr>
          <w:szCs w:val="24"/>
        </w:rPr>
        <w:t xml:space="preserve">And </w:t>
      </w:r>
      <w:hyperlink r:id="rId8">
        <w:r>
          <w:rPr>
            <w:color w:val="0000EE"/>
            <w:szCs w:val="24"/>
            <w:u w:val="single"/>
          </w:rPr>
          <w:t>Musa al-</w:t>
        </w:r>
        <w:proofErr w:type="spellStart"/>
        <w:r>
          <w:rPr>
            <w:color w:val="0000EE"/>
            <w:szCs w:val="24"/>
            <w:u w:val="single"/>
          </w:rPr>
          <w:t>Gharbi</w:t>
        </w:r>
      </w:hyperlink>
      <w:r>
        <w:rPr>
          <w:szCs w:val="24"/>
        </w:rPr>
        <w:t>provides</w:t>
      </w:r>
      <w:proofErr w:type="spellEnd"/>
      <w:r>
        <w:rPr>
          <w:szCs w:val="24"/>
        </w:rPr>
        <w:t xml:space="preserve"> extensive documentation of this divergence between words and reality, noting that the most progressive states and cities, which have adopted all of the correct terminology, have the worst income inequality and the most racial segregation (al-Gharbi 2024, pp. 186-187 as well as all of chapter 3).</w:t>
      </w:r>
    </w:p>
    <w:p w14:paraId="00000038" w14:textId="77777777" w:rsidR="00260E18" w:rsidRDefault="00260E18">
      <w:pPr>
        <w:rPr>
          <w:szCs w:val="24"/>
        </w:rPr>
      </w:pPr>
    </w:p>
    <w:p w14:paraId="00000039" w14:textId="77777777" w:rsidR="00260E18" w:rsidRDefault="00000000">
      <w:pPr>
        <w:rPr>
          <w:szCs w:val="24"/>
        </w:rPr>
      </w:pPr>
      <w:r>
        <w:rPr>
          <w:szCs w:val="24"/>
        </w:rPr>
        <w:t xml:space="preserve">Indeed, if we suppose for the moment that the true problem of homelessness is </w:t>
      </w:r>
      <w:r>
        <w:rPr>
          <w:i/>
          <w:szCs w:val="24"/>
        </w:rPr>
        <w:t>not</w:t>
      </w:r>
      <w:r>
        <w:rPr>
          <w:szCs w:val="24"/>
        </w:rPr>
        <w:t xml:space="preserve"> primarily economic, but instead is more a matter of mental or spiritual difficulties, then the semantic shift would clearly be harmful. By steering discussion of “the homeless” to “the unhoused,” these activists would be smuggling in their preferred solution, even if it will prove impotent.</w:t>
      </w:r>
    </w:p>
    <w:p w14:paraId="0000003A" w14:textId="77777777" w:rsidR="00260E18" w:rsidRDefault="00260E18">
      <w:pPr>
        <w:rPr>
          <w:szCs w:val="24"/>
        </w:rPr>
      </w:pPr>
    </w:p>
    <w:p w14:paraId="0000003B" w14:textId="77777777" w:rsidR="00260E18" w:rsidRDefault="00000000">
      <w:pPr>
        <w:rPr>
          <w:szCs w:val="24"/>
        </w:rPr>
      </w:pPr>
      <w:r>
        <w:rPr>
          <w:szCs w:val="24"/>
        </w:rPr>
        <w:t xml:space="preserve">We have spent so much time on the homeless example because it is analogous to what’s happening with MMT: Its proponents obviously do not believe that a change in nomenclature will allow for the suspension of the laws of physics or chemistry. Yet this shows that they aren’t making the </w:t>
      </w:r>
      <w:r>
        <w:rPr>
          <w:i/>
          <w:szCs w:val="24"/>
        </w:rPr>
        <w:t xml:space="preserve">actual </w:t>
      </w:r>
      <w:r>
        <w:rPr>
          <w:szCs w:val="24"/>
        </w:rPr>
        <w:t xml:space="preserve">underlying tradeoffs any easier. Moreover, everybody in the policy debate already knew of the actual tradeoffs involved; they didn’t need the </w:t>
      </w:r>
      <w:proofErr w:type="spellStart"/>
      <w:r>
        <w:rPr>
          <w:szCs w:val="24"/>
        </w:rPr>
        <w:t>MMTers</w:t>
      </w:r>
      <w:proofErr w:type="spellEnd"/>
      <w:r>
        <w:rPr>
          <w:szCs w:val="24"/>
        </w:rPr>
        <w:t xml:space="preserve"> to explain that if the government builds a bridge, those same resources can’t also be used to build a Thai restaurant. As we will demonstrate, all of the “work” done in the MMT arguments flows from their semantic misdirection–in short, word magic. And as with the homeless example, here too we think the MMT word magic is worse than pointless: Under the guise of “clarification,” it actually smuggles in the desired policy choices of the </w:t>
      </w:r>
      <w:proofErr w:type="spellStart"/>
      <w:r>
        <w:rPr>
          <w:szCs w:val="24"/>
        </w:rPr>
        <w:t>MMTers</w:t>
      </w:r>
      <w:proofErr w:type="spellEnd"/>
      <w:r>
        <w:rPr>
          <w:szCs w:val="24"/>
        </w:rPr>
        <w:t>.</w:t>
      </w:r>
    </w:p>
    <w:p w14:paraId="0000003C" w14:textId="77777777" w:rsidR="00260E18" w:rsidRDefault="00260E18">
      <w:pPr>
        <w:rPr>
          <w:szCs w:val="24"/>
        </w:rPr>
      </w:pPr>
    </w:p>
    <w:p w14:paraId="0000003D" w14:textId="77777777" w:rsidR="00260E18" w:rsidRDefault="00000000">
      <w:pPr>
        <w:rPr>
          <w:szCs w:val="24"/>
        </w:rPr>
      </w:pPr>
      <w:r>
        <w:rPr>
          <w:szCs w:val="24"/>
        </w:rPr>
        <w:t>Yet before we address the distinctive element of word magic in MMT, let us briefly look at its connection to two earlier economists, John Maynard Keynes and Abba Lerner. In these next two sections, we will deliberately avoid any evaluation of Keynes's or Lerner's work, as such an effort would distract from the main thesis of this paper: we leave it to the reader to evaluate the work of those economists for themselves, should they so desire.</w:t>
      </w:r>
    </w:p>
    <w:p w14:paraId="0000003E" w14:textId="77777777" w:rsidR="00260E18" w:rsidRDefault="00000000">
      <w:pPr>
        <w:pStyle w:val="Heading2"/>
      </w:pPr>
      <w:bookmarkStart w:id="3" w:name="_g09qvuk2g2fb" w:colFirst="0" w:colLast="0"/>
      <w:bookmarkEnd w:id="3"/>
      <w:r>
        <w:lastRenderedPageBreak/>
        <w:t>What MMT Takes from Lerner</w:t>
      </w:r>
    </w:p>
    <w:p w14:paraId="00000040" w14:textId="01A28629" w:rsidR="00260E18" w:rsidRDefault="00000000">
      <w:r>
        <w:t xml:space="preserve">It is generally accepted among today’s proponents of MMT that its modern version was independently formulated by Warren Mosler, who was </w:t>
      </w:r>
      <w:r>
        <w:rPr>
          <w:i/>
        </w:rPr>
        <w:t>not</w:t>
      </w:r>
      <w:r>
        <w:t xml:space="preserve"> an academic but rather gained the essential insights of how a monetary sovereign works through his time spent in the bond markets of the late 1970s and early 1980s (Mosler 2010, Prologue). But professional economists soon recognized that Mosler had rediscovered the “Functional Finance” approach of Abba Lerner, spelled out in a 1943 article. In this piece, Lerner explicitly acknowledges the connection to Keynesianism, but also points out the distinction between the two schools:</w:t>
      </w:r>
    </w:p>
    <w:p w14:paraId="00000043" w14:textId="16E63C57" w:rsidR="00260E18" w:rsidRDefault="00000000" w:rsidP="00C73B3B">
      <w:pPr>
        <w:pStyle w:val="Blockquote"/>
      </w:pPr>
      <w:r>
        <w:t xml:space="preserve">In recent years the principles by which appropriate government action can maintain prosperity have been adequately developed, but the proponents of the new principles have either not seen their full logical implications or shown an over-solicitousness which caused them to try to save the public from the necessary mental exercise. This has worked like a boomerang. Many of our publicly minded men who have come to see that deficit spending actually works still oppose the permanent maintenance of prosperity because in their failure to see </w:t>
      </w:r>
      <w:r>
        <w:rPr>
          <w:i/>
        </w:rPr>
        <w:t xml:space="preserve">how </w:t>
      </w:r>
      <w:r>
        <w:t>it all works they are easily frightened by fairy tales of terrible consequences.</w:t>
      </w:r>
    </w:p>
    <w:p w14:paraId="00000044" w14:textId="77777777" w:rsidR="00260E18" w:rsidRDefault="00000000" w:rsidP="00C73B3B">
      <w:pPr>
        <w:pStyle w:val="Blockquote"/>
      </w:pPr>
      <w:r>
        <w:t>As formulated by Alvin Hansen and others…the new fiscal theory (which was first put forward in substantially complete form by J. M. Keynes in England) sounds a little less novel and absurd to our preconditioned ears than it does when presented in its simplest and most logical form, with all the unorthodox implications expressly formulated. In some cases the less shocking formulation may be intentional, as a tactical device to gain serious attention. In other cases it is due not to a desire to sugar the pill but to the fact that the writers themselves have not seen all the unorthodox implications--perhaps subconsciously compromising with their own orthodox education. But now it is these compromises that are under fire. Now more than ever it is necessary to post the theorems in the purest form. Only thus will it be possible to clear the air of objections which really are concerned with awkwardnesses that appear only when the new theory is forced into the old theoretical framework. (Lerner 1943, pp. 468-469, italics in original)</w:t>
      </w:r>
    </w:p>
    <w:p w14:paraId="00000046" w14:textId="77777777" w:rsidR="00260E18" w:rsidRDefault="00260E18"/>
    <w:p w14:paraId="00000047" w14:textId="77777777" w:rsidR="00260E18" w:rsidRDefault="00000000">
      <w:r>
        <w:t xml:space="preserve">After framing the purpose of his paper in this fashion, Lerner gives us the punchline: “The central idea is that government fiscal policy, its spending and taxing, its borrowing and repayment of loans, its issue of new money and its withdrawal of money, shall all be undertaken with an eye only to the </w:t>
      </w:r>
      <w:r>
        <w:rPr>
          <w:i/>
        </w:rPr>
        <w:t xml:space="preserve">result </w:t>
      </w:r>
      <w:r>
        <w:t xml:space="preserve">of these actions on the economy and not to any established traditional doctrine about what is sound or unsound” (Lerner 1943, p. </w:t>
      </w:r>
      <w:r>
        <w:lastRenderedPageBreak/>
        <w:t xml:space="preserve">469, italics in original). After describing his approach as the method of science and dismissing the obsolete framework as “scholasticism,” Lerner sums up: “The principle of judging fiscal measures by the way they work or function in the economy we may call </w:t>
      </w:r>
      <w:r>
        <w:rPr>
          <w:i/>
        </w:rPr>
        <w:t>Functional Finance.</w:t>
      </w:r>
      <w:r>
        <w:t>”</w:t>
      </w:r>
    </w:p>
    <w:p w14:paraId="00000048" w14:textId="77777777" w:rsidR="00260E18" w:rsidRDefault="00260E18"/>
    <w:p w14:paraId="00000049" w14:textId="77777777" w:rsidR="00260E18" w:rsidRDefault="00000000">
      <w:r>
        <w:t xml:space="preserve">The correspondence between Lerner’s Functional Finance and today’s MMT--as crystallized, say, in Warren Mosler’s (2010) </w:t>
      </w:r>
      <w:r>
        <w:rPr>
          <w:i/>
        </w:rPr>
        <w:t>Seven Deadly Innocent Frauds</w:t>
      </w:r>
      <w:r>
        <w:t>--is nearly perfect. The most obvious example is the (alleged) burden of the government debt on future generations. Abba Lerner’s position was often summarized (though he didn’t say it literally in this way in his 1943 piece) that the government debt can’t possibly burden our grandkids so long as “we owe it to ourselves.” And for Mosler’s part, the second of his “deadly innocent frauds” is: “With government deficits, we are leaving our debt burden to our children” (Mosler 2010, p. 16).</w:t>
      </w:r>
    </w:p>
    <w:p w14:paraId="0000004A" w14:textId="77777777" w:rsidR="00260E18" w:rsidRDefault="00260E18"/>
    <w:p w14:paraId="0000004B" w14:textId="77777777" w:rsidR="00260E18" w:rsidRDefault="00000000">
      <w:r>
        <w:t xml:space="preserve">However, in order to showcase the </w:t>
      </w:r>
      <w:r>
        <w:rPr>
          <w:i/>
        </w:rPr>
        <w:t>word magic</w:t>
      </w:r>
      <w:r>
        <w:t xml:space="preserve"> of MMT–which is our focus in this paper–it is most useful for us to quote Mosler on the </w:t>
      </w:r>
      <w:r>
        <w:rPr>
          <w:i/>
        </w:rPr>
        <w:t>first</w:t>
      </w:r>
      <w:r>
        <w:t xml:space="preserve"> “deadly innocent fraud,” which is, “The government must raise funds through taxation or borrowing in order to spend” (p. 16). He explains:</w:t>
      </w:r>
    </w:p>
    <w:p w14:paraId="0000004C" w14:textId="77777777" w:rsidR="00260E18" w:rsidRDefault="00260E18"/>
    <w:p w14:paraId="0000004F" w14:textId="7A4D5830" w:rsidR="00260E18" w:rsidRDefault="00000000" w:rsidP="00C73B3B">
      <w:pPr>
        <w:pStyle w:val="Blockquote"/>
      </w:pPr>
      <w:r>
        <w:t>The Chairman of the Federal Reserve Bank is telling us in plain English that they give out money (spend and lend) simply by changing numbers in bank accounts. There is no such thing as having to “get” taxes (or borrow) to make a spreadsheet entry that we call “government spending.” Computer data doesn’t come from anywhere. Everyone knows that!</w:t>
      </w:r>
    </w:p>
    <w:p w14:paraId="00000051" w14:textId="4091A32C" w:rsidR="00260E18" w:rsidRDefault="00000000" w:rsidP="00C73B3B">
      <w:pPr>
        <w:pStyle w:val="Blockquote"/>
      </w:pPr>
      <w:r>
        <w:t>Where else do we see this happen? Your team kicks a field goal and on the scoreboard, the score changes from, say, 7 points to 10 points. Does anyone wonder where the stadium got those three points? Of course not! Or you knock down 5 pins at the bowling alley and your score goes from 10 to 15. Do you worry about where the bowling alley got those points? Do you think all bowling alleys and football stadiums should have a ‘reserve of points’ in a “lock box” to make sure you can get the points you have scored? Of course not! And if the bowling alley discovers you “foot faulted” and lowers your score back down by 5 points, does the bowling alley now have more score to give out? Of course not!</w:t>
      </w:r>
    </w:p>
    <w:p w14:paraId="00000052" w14:textId="77777777" w:rsidR="00260E18" w:rsidRDefault="00000000" w:rsidP="00C73B3B">
      <w:pPr>
        <w:pStyle w:val="Blockquote"/>
      </w:pPr>
      <w:r>
        <w:t>We all know how data entry works, but somehow this has gotten turned upside down and backwards by our politicians, media, and, most [of] all, the prominent mainstream economists.</w:t>
      </w:r>
    </w:p>
    <w:p w14:paraId="00000053" w14:textId="77777777" w:rsidR="00260E18" w:rsidRDefault="00260E18" w:rsidP="00C73B3B">
      <w:pPr>
        <w:pStyle w:val="Blockquote"/>
      </w:pPr>
    </w:p>
    <w:p w14:paraId="00000055" w14:textId="6CE28887" w:rsidR="00260E18" w:rsidRPr="00C73B3B" w:rsidRDefault="00000000" w:rsidP="00C73B3B">
      <w:pPr>
        <w:pStyle w:val="Blockquote"/>
        <w:rPr>
          <w:b/>
        </w:rPr>
      </w:pPr>
      <w:r>
        <w:lastRenderedPageBreak/>
        <w:t xml:space="preserve">Just keep this in mind as a starting point: </w:t>
      </w:r>
      <w:r>
        <w:rPr>
          <w:b/>
        </w:rPr>
        <w:t>The federal government doesn’t ever “have” or “not have” any dollars.</w:t>
      </w:r>
    </w:p>
    <w:p w14:paraId="00000057" w14:textId="19DB1F31" w:rsidR="00260E18" w:rsidRDefault="00000000" w:rsidP="00C73B3B">
      <w:pPr>
        <w:pStyle w:val="Blockquote"/>
      </w:pPr>
      <w:r>
        <w:t>It’s just like the stadium, which doesn’t “have” or “not have” a hoard of points to give out. When it comes to the dollar, our government, working through its Federal agencies, the Federal Reserve Bank and the U.S. Treasury Department, is the score keeper. (And it also makes the rules!)</w:t>
      </w:r>
    </w:p>
    <w:p w14:paraId="00000059" w14:textId="4C7B3872" w:rsidR="00260E18" w:rsidRDefault="00000000" w:rsidP="00C73B3B">
      <w:pPr>
        <w:pStyle w:val="Blockquote"/>
      </w:pPr>
      <w:r>
        <w:t xml:space="preserve">You now have the operational answer to the question: </w:t>
      </w:r>
      <w:r>
        <w:rPr>
          <w:b/>
        </w:rPr>
        <w:t>“How are we going to pay for it?”</w:t>
      </w:r>
      <w:r>
        <w:t xml:space="preserve"> And the answer is: the same way government pays for anything, it changes the numbers in our bank accounts.</w:t>
      </w:r>
    </w:p>
    <w:p w14:paraId="0000005B" w14:textId="79115F0E" w:rsidR="00260E18" w:rsidRDefault="00000000" w:rsidP="00C73B3B">
      <w:pPr>
        <w:pStyle w:val="Blockquote"/>
      </w:pPr>
      <w:r>
        <w:t>The federal government isn’t going to “run out of money,” as our President has mistakenly repeated. There is no such thing. Nor is it dependent on “getting” dollars from China or anywhere else. All it takes for the government to spend is for it to change the numbers up in bank accounts at its own bank, the Federal Reserve Bank. There is no numerical limit to how much money our government can spend, whenever it wants to spend. (This includes making interest payments, as well as Social Security and Medicare payments.) It encompasses all government payments made in dollars to anyone.</w:t>
      </w:r>
    </w:p>
    <w:p w14:paraId="0000005E" w14:textId="74B8DBA9" w:rsidR="00260E18" w:rsidRDefault="00000000" w:rsidP="00C73B3B">
      <w:pPr>
        <w:pStyle w:val="Blockquote"/>
      </w:pPr>
      <w:r>
        <w:rPr>
          <w:b/>
        </w:rPr>
        <w:t>This is not to say that excess government spending won’t possibly cause prices to go up (which is inflation).</w:t>
      </w:r>
      <w:r>
        <w:t xml:space="preserve"> But it is to say that the government can’t go broke and can’t be bankrupt. There is simply no such thing. (Mosler 2010, pp. 21-22, bold in original)</w:t>
      </w:r>
    </w:p>
    <w:p w14:paraId="0000005F" w14:textId="77777777" w:rsidR="00260E18" w:rsidRDefault="00000000">
      <w:r>
        <w:t xml:space="preserve">The above block quotation from Mosler neatly distills the central point of MMT in today’s policy debates. (For example, the 2024 pro-MMT documentary was titled </w:t>
      </w:r>
      <w:r>
        <w:rPr>
          <w:i/>
        </w:rPr>
        <w:t>Finding the Money</w:t>
      </w:r>
      <w:r>
        <w:t xml:space="preserve">.) Mosler’s assertions simultaneously appear so obvious that they border on trivial, and yet still hint that they have the power to completely upend traditional debates over the government budget. We are reminded of Jesus’ famous admonition to render to Caesar what is Caesar’s, and God what is God’s--a statement that is a tautology and yet still leaves the reader pondering, “Just what did he </w:t>
      </w:r>
      <w:r>
        <w:rPr>
          <w:i/>
        </w:rPr>
        <w:t>mean</w:t>
      </w:r>
      <w:r>
        <w:t>?”</w:t>
      </w:r>
    </w:p>
    <w:p w14:paraId="00000060" w14:textId="77777777" w:rsidR="00260E18" w:rsidRDefault="00260E18"/>
    <w:p w14:paraId="00000061" w14:textId="77777777" w:rsidR="00260E18" w:rsidRDefault="00000000">
      <w:r>
        <w:t>In short, Mosler is a word magician and above we have reproduced the first spell in his book.</w:t>
      </w:r>
    </w:p>
    <w:p w14:paraId="00000062" w14:textId="77777777" w:rsidR="00260E18" w:rsidRDefault="00000000">
      <w:pPr>
        <w:pStyle w:val="Heading2"/>
      </w:pPr>
      <w:bookmarkStart w:id="4" w:name="_qluz7gz222v0" w:colFirst="0" w:colLast="0"/>
      <w:bookmarkEnd w:id="4"/>
      <w:r>
        <w:t>How MMT Differs from (New) Keynesianism</w:t>
      </w:r>
    </w:p>
    <w:p w14:paraId="00000063" w14:textId="77777777" w:rsidR="00260E18" w:rsidRDefault="00260E18"/>
    <w:p w14:paraId="00000064" w14:textId="77777777" w:rsidR="00260E18" w:rsidRDefault="00000000">
      <w:r>
        <w:t xml:space="preserve">As Lerner himself acknowledged in his 1943 article, Functional Finance’s underlying economics of deficit spending come from Keynes. The difference, however, was that Keynes’ disciples typically used the orthodox framework in which to deploy the </w:t>
      </w:r>
      <w:r>
        <w:lastRenderedPageBreak/>
        <w:t xml:space="preserve">unorthodox Keynesian remedies. Thus it was acceptable to run a large deficit if the economy were stuck in a liquidity trap, but assurances were given that these deficits would be counterbalanced by surpluses once prosperity had returned. Lerner sought to liberate government policymakers from these anachronistic constraints--concern about the state of “the public finances” </w:t>
      </w:r>
      <w:r>
        <w:rPr>
          <w:i/>
        </w:rPr>
        <w:t>should pose no independent influence at all</w:t>
      </w:r>
      <w:r>
        <w:t xml:space="preserve"> on how much to tax, spend, borrow, or inflate. Instead, Lerner said the government faced the conceptually simple task of spending more when labor and other resources were idle, while removing excess spending when the economy was overheating and suffering from rising inflation. In the context of these mandates, facts such as the ratio of the public debt to the size of the economy were irrelevant trivia.</w:t>
      </w:r>
    </w:p>
    <w:p w14:paraId="00000065" w14:textId="77777777" w:rsidR="00260E18" w:rsidRDefault="00260E18"/>
    <w:p w14:paraId="00000066" w14:textId="77777777" w:rsidR="00260E18" w:rsidRDefault="00000000">
      <w:r>
        <w:t>Lerner’s relation to the Keynesians of his day maps onto our own policy debates, where Stephanie Kelton and Paul Krugman had a celebrated clash in several exchanges in 2019. (Their debate is documented and analyzed with precision in Michell 2019.) Although Kelton and Krugman covered much ground, for our purposes we can summarize their debate in this way: Krugman opened by arguing that Lerner’s Functional Finance, though it gave the correct (Keynesian) policy recommendations during a slump, did not pay sufficient heed to the danger of an ever-growing government debt requiring ever-higher interest payments and/or monetary growth that would eventually stoke ever-rising price inflation. Kelton responded that these worries did not apply to a monetary sovereign (such as the US or Japanese governments), because the central bank could set the interest rate at whatever level it desired.</w:t>
      </w:r>
    </w:p>
    <w:p w14:paraId="00000067" w14:textId="77777777" w:rsidR="00260E18" w:rsidRDefault="00260E18"/>
    <w:p w14:paraId="00000068" w14:textId="77777777" w:rsidR="00260E18" w:rsidRDefault="00000000">
      <w:r>
        <w:t>Krugman fired back, arguing that if the central bank fixed the interest rate--which he agreed it had the absolute power to do--it could still lose control of other variables (such as the inflation rate or unemployment rate), depending on the state of the economy. In her reply, Kelton effectively played whack-a-mole, where she explained how the central bank/government could deal with these other problems, considered one at a time. Krugman concluded the debate (2019) in exasperation, accusing Kelton of playing “Calvinball”--a reference to the Calvin and Hobbes comic, in which the title character invents a game where he continuously alters the rules in order to win.</w:t>
      </w:r>
    </w:p>
    <w:p w14:paraId="00000069" w14:textId="77777777" w:rsidR="00260E18" w:rsidRDefault="00260E18"/>
    <w:p w14:paraId="0000006A" w14:textId="77777777" w:rsidR="00260E18" w:rsidRDefault="00000000">
      <w:r>
        <w:t xml:space="preserve">There’s a sense in which Kelton was deploying word magic in her debate with Krugman. But their dispute revolved around technical economic constructs such as the loanable funds and IS-LM models. In the next section we draw on Kelton’s 2020 pop book, </w:t>
      </w:r>
      <w:r>
        <w:rPr>
          <w:i/>
        </w:rPr>
        <w:t>The Deficit Myth</w:t>
      </w:r>
      <w:r>
        <w:t>, to showcase her word magic as deployed on the masses.</w:t>
      </w:r>
    </w:p>
    <w:p w14:paraId="0000006B" w14:textId="77777777" w:rsidR="00260E18" w:rsidRDefault="00000000">
      <w:pPr>
        <w:pStyle w:val="Heading2"/>
      </w:pPr>
      <w:bookmarkStart w:id="5" w:name="_pr728gt9s7t3" w:colFirst="0" w:colLast="0"/>
      <w:bookmarkEnd w:id="5"/>
      <w:r>
        <w:t>More MMT Word Magic for the General Public</w:t>
      </w:r>
    </w:p>
    <w:p w14:paraId="0000006C" w14:textId="77777777" w:rsidR="00260E18" w:rsidRDefault="00260E18">
      <w:pPr>
        <w:rPr>
          <w:szCs w:val="24"/>
        </w:rPr>
      </w:pPr>
    </w:p>
    <w:p w14:paraId="0000006D" w14:textId="77777777" w:rsidR="00260E18" w:rsidRDefault="00000000">
      <w:pPr>
        <w:rPr>
          <w:szCs w:val="24"/>
        </w:rPr>
      </w:pPr>
      <w:r>
        <w:rPr>
          <w:szCs w:val="24"/>
        </w:rPr>
        <w:lastRenderedPageBreak/>
        <w:t xml:space="preserve">Even the least astute of our readers have surely guessed that we are not fans of MMT in general or Stephanie Kelton in particular. However, we reiterate that our purpose in this paper is not to critique either from the perspective of economics. (For such a critique, see Murphy [2020].) Rather, in this section we are focused on Kelton’s use of </w:t>
      </w:r>
      <w:r>
        <w:rPr>
          <w:i/>
          <w:szCs w:val="24"/>
        </w:rPr>
        <w:t>word magic</w:t>
      </w:r>
      <w:r>
        <w:rPr>
          <w:szCs w:val="24"/>
        </w:rPr>
        <w:t xml:space="preserve">. </w:t>
      </w:r>
    </w:p>
    <w:p w14:paraId="0000006E" w14:textId="77777777" w:rsidR="00260E18" w:rsidRDefault="00260E18">
      <w:pPr>
        <w:rPr>
          <w:szCs w:val="24"/>
        </w:rPr>
      </w:pPr>
    </w:p>
    <w:p w14:paraId="0000006F" w14:textId="77777777" w:rsidR="00260E18" w:rsidRDefault="00000000">
      <w:pPr>
        <w:rPr>
          <w:szCs w:val="24"/>
        </w:rPr>
      </w:pPr>
      <w:r>
        <w:rPr>
          <w:szCs w:val="24"/>
        </w:rPr>
        <w:t xml:space="preserve">The quotation we provided from Mosler above, and indeed the central theme of the 2024 MMT documentary </w:t>
      </w:r>
      <w:r>
        <w:rPr>
          <w:i/>
          <w:szCs w:val="24"/>
        </w:rPr>
        <w:t>Finding the Money</w:t>
      </w:r>
      <w:r>
        <w:rPr>
          <w:szCs w:val="24"/>
        </w:rPr>
        <w:t xml:space="preserve">, drive home the essential point that the </w:t>
      </w:r>
      <w:r>
        <w:rPr>
          <w:i/>
          <w:szCs w:val="24"/>
        </w:rPr>
        <w:t>true</w:t>
      </w:r>
      <w:r>
        <w:rPr>
          <w:szCs w:val="24"/>
        </w:rPr>
        <w:t xml:space="preserve"> economic problem our society faces is the mobilization of resources. According to the </w:t>
      </w:r>
      <w:proofErr w:type="spellStart"/>
      <w:r>
        <w:rPr>
          <w:szCs w:val="24"/>
        </w:rPr>
        <w:t>MMTers</w:t>
      </w:r>
      <w:proofErr w:type="spellEnd"/>
      <w:r>
        <w:rPr>
          <w:szCs w:val="24"/>
        </w:rPr>
        <w:t xml:space="preserve">, it is silly to ask, “How will we pay for it?” because the government can effortlessly create money. Now it’s true, if the government prints </w:t>
      </w:r>
      <w:r>
        <w:rPr>
          <w:i/>
          <w:szCs w:val="24"/>
        </w:rPr>
        <w:t>too much</w:t>
      </w:r>
      <w:r>
        <w:rPr>
          <w:szCs w:val="24"/>
        </w:rPr>
        <w:t xml:space="preserve"> money, there might be undesirable price inflation. But even there (so the standard MMT argument goes), the issue is the inflation; the problem is never a matter of finance per se.</w:t>
      </w:r>
    </w:p>
    <w:p w14:paraId="00000070" w14:textId="77777777" w:rsidR="00260E18" w:rsidRDefault="00260E18">
      <w:pPr>
        <w:rPr>
          <w:szCs w:val="24"/>
        </w:rPr>
      </w:pPr>
    </w:p>
    <w:p w14:paraId="00000071" w14:textId="77777777" w:rsidR="00260E18" w:rsidRDefault="00000000">
      <w:pPr>
        <w:rPr>
          <w:szCs w:val="24"/>
        </w:rPr>
      </w:pPr>
      <w:r>
        <w:rPr>
          <w:szCs w:val="24"/>
        </w:rPr>
        <w:t xml:space="preserve">In this context, then, it may surprise readers when we claim that Kelton uses the word </w:t>
      </w:r>
      <w:r>
        <w:rPr>
          <w:i/>
          <w:szCs w:val="24"/>
        </w:rPr>
        <w:t>money</w:t>
      </w:r>
      <w:r>
        <w:rPr>
          <w:szCs w:val="24"/>
        </w:rPr>
        <w:t xml:space="preserve"> in a magical fashion. It is </w:t>
      </w:r>
      <w:r>
        <w:rPr>
          <w:i/>
          <w:szCs w:val="24"/>
        </w:rPr>
        <w:t>she</w:t>
      </w:r>
      <w:r>
        <w:rPr>
          <w:szCs w:val="24"/>
        </w:rPr>
        <w:t xml:space="preserve"> who focuses on it narrowly, while losing sight of the bigger picture.</w:t>
      </w:r>
    </w:p>
    <w:p w14:paraId="00000072" w14:textId="77777777" w:rsidR="00260E18" w:rsidRDefault="00260E18">
      <w:pPr>
        <w:rPr>
          <w:szCs w:val="24"/>
        </w:rPr>
      </w:pPr>
    </w:p>
    <w:p w14:paraId="00000073" w14:textId="77777777" w:rsidR="00260E18" w:rsidRDefault="00000000">
      <w:pPr>
        <w:rPr>
          <w:szCs w:val="24"/>
        </w:rPr>
      </w:pPr>
      <w:r>
        <w:rPr>
          <w:szCs w:val="24"/>
        </w:rPr>
        <w:t>For example: When writing about the aftermath of Covid and the subsequent lock-downs, Kelton claims: "To keep essential services running--schools, transportation, fire, police, and so on--state and local governments desperately needed more money" (Kelton 2020, p. xvi).</w:t>
      </w:r>
    </w:p>
    <w:p w14:paraId="00000074" w14:textId="77777777" w:rsidR="00260E18" w:rsidRDefault="00260E18">
      <w:pPr>
        <w:rPr>
          <w:szCs w:val="24"/>
        </w:rPr>
      </w:pPr>
    </w:p>
    <w:p w14:paraId="00000075" w14:textId="77777777" w:rsidR="00260E18" w:rsidRDefault="00000000">
      <w:pPr>
        <w:rPr>
          <w:szCs w:val="24"/>
        </w:rPr>
      </w:pPr>
      <w:r>
        <w:rPr>
          <w:szCs w:val="24"/>
        </w:rPr>
        <w:t xml:space="preserve">But that is not correct: what all these services needed to continue running was </w:t>
      </w:r>
      <w:r>
        <w:rPr>
          <w:i/>
          <w:szCs w:val="24"/>
        </w:rPr>
        <w:t>resources</w:t>
      </w:r>
      <w:r>
        <w:rPr>
          <w:szCs w:val="24"/>
        </w:rPr>
        <w:t>: schools needed fuel to keep the students warm, and food to feed them lunch, the police and fire departments needed gasoline or electricity to run their vehicles, the city buses needed replacement parts to keep the buses operational, and, as the Marxists might put it, all of the workers providing these services needed resources to reproduce their labor day after day.</w:t>
      </w:r>
    </w:p>
    <w:p w14:paraId="00000076" w14:textId="77777777" w:rsidR="00260E18" w:rsidRDefault="00260E18">
      <w:pPr>
        <w:rPr>
          <w:szCs w:val="24"/>
        </w:rPr>
      </w:pPr>
    </w:p>
    <w:p w14:paraId="00000077" w14:textId="77777777" w:rsidR="00260E18" w:rsidRDefault="00000000">
      <w:pPr>
        <w:rPr>
          <w:szCs w:val="24"/>
        </w:rPr>
      </w:pPr>
      <w:r>
        <w:rPr>
          <w:szCs w:val="24"/>
        </w:rPr>
        <w:t>What occurred in the wake of the Covid pandemic was a serious shortage of resources, not of money. We can easily see the problem in Kelton's case by imagining a situation in which none of these things were available: then, no matter how much money the government printed, the students would be cold, the emergency vehicles could not run, the buses could not be repaired, and the employees could not reproduce their labor each day.</w:t>
      </w:r>
    </w:p>
    <w:p w14:paraId="00000078" w14:textId="77777777" w:rsidR="00260E18" w:rsidRDefault="00260E18">
      <w:pPr>
        <w:rPr>
          <w:szCs w:val="24"/>
        </w:rPr>
      </w:pPr>
    </w:p>
    <w:p w14:paraId="00000079" w14:textId="77777777" w:rsidR="00260E18" w:rsidRDefault="00000000">
      <w:pPr>
        <w:rPr>
          <w:szCs w:val="24"/>
        </w:rPr>
      </w:pPr>
      <w:r>
        <w:rPr>
          <w:szCs w:val="24"/>
        </w:rPr>
        <w:t xml:space="preserve">We do not wish to deny that the government handing out money might help the portions of the population that received the money to acquire resources that they could not have otherwise. But the people thus helped would then be bidding resources away from other </w:t>
      </w:r>
      <w:r>
        <w:rPr>
          <w:szCs w:val="24"/>
        </w:rPr>
        <w:lastRenderedPageBreak/>
        <w:t>people who would have acquired them in the absence of the government intervention. In this paper, we will not address the pragmatic or moral case for or against this type of government redistribution of access to resources. Here, we merely wish to point out that such government policies do not increase the resource stock, they merely change which citizens are able to acquire resources from the existing stock.</w:t>
      </w:r>
    </w:p>
    <w:p w14:paraId="0000007A" w14:textId="77777777" w:rsidR="00260E18" w:rsidRDefault="00260E18">
      <w:pPr>
        <w:rPr>
          <w:szCs w:val="24"/>
        </w:rPr>
      </w:pPr>
    </w:p>
    <w:p w14:paraId="0000007B" w14:textId="77777777" w:rsidR="00260E18" w:rsidRDefault="00000000">
      <w:pPr>
        <w:rPr>
          <w:szCs w:val="24"/>
        </w:rPr>
      </w:pPr>
      <w:r>
        <w:rPr>
          <w:szCs w:val="24"/>
        </w:rPr>
        <w:t xml:space="preserve">Before continuing, we must make a critical point, which is the lynchpin to our entire argument in this section: Obviously Kelton or her supporters could respond to us by claiming, “Yes, of course </w:t>
      </w:r>
      <w:r>
        <w:rPr>
          <w:i/>
          <w:szCs w:val="24"/>
        </w:rPr>
        <w:t>ultimately</w:t>
      </w:r>
      <w:r>
        <w:rPr>
          <w:szCs w:val="24"/>
        </w:rPr>
        <w:t xml:space="preserve"> what the schools needed during the Covid lockdown was real resources. But saying ‘they desperately needed money’ is simply </w:t>
      </w:r>
      <w:r>
        <w:rPr>
          <w:i/>
          <w:szCs w:val="24"/>
        </w:rPr>
        <w:t>shorthand</w:t>
      </w:r>
      <w:r>
        <w:rPr>
          <w:szCs w:val="24"/>
        </w:rPr>
        <w:t xml:space="preserve"> for that--because that’s the vehicle by which the schools acquire real resources!”</w:t>
      </w:r>
    </w:p>
    <w:p w14:paraId="0000007C" w14:textId="77777777" w:rsidR="00260E18" w:rsidRDefault="00260E18">
      <w:pPr>
        <w:rPr>
          <w:szCs w:val="24"/>
        </w:rPr>
      </w:pPr>
    </w:p>
    <w:p w14:paraId="0000007D" w14:textId="77777777" w:rsidR="00260E18" w:rsidRDefault="00000000">
      <w:pPr>
        <w:rPr>
          <w:szCs w:val="24"/>
        </w:rPr>
      </w:pPr>
      <w:r>
        <w:rPr>
          <w:szCs w:val="24"/>
        </w:rPr>
        <w:t xml:space="preserve">But this is the whole problem with MMT! When considering the Green New Deal, or Single Payer healthcare, a critic might ask, “How will the government pay for it?” Now such a critic--particularly if he or she is a trained economist from a camp other than MMT--is aware of the fact that modern governments possess printing presses. Everybody knows what happened in Zimbabwe. So when people ask, “Where will we get the money?” </w:t>
      </w:r>
      <w:r>
        <w:rPr>
          <w:i/>
          <w:szCs w:val="24"/>
        </w:rPr>
        <w:t>it is shorthand</w:t>
      </w:r>
      <w:r>
        <w:rPr>
          <w:szCs w:val="24"/>
        </w:rPr>
        <w:t xml:space="preserve"> for saying, “How will we redirect resources away from other uses in a way that makes this forfeited output seem like an acceptable cost?” Everybody in the policy debate </w:t>
      </w:r>
      <w:r>
        <w:rPr>
          <w:i/>
          <w:szCs w:val="24"/>
        </w:rPr>
        <w:t xml:space="preserve">already knows </w:t>
      </w:r>
      <w:r>
        <w:rPr>
          <w:szCs w:val="24"/>
        </w:rPr>
        <w:t xml:space="preserve">that “the government could just print the money” is on the table. But they believe that absent cuts in spending </w:t>
      </w:r>
      <w:r>
        <w:rPr>
          <w:i/>
          <w:szCs w:val="24"/>
        </w:rPr>
        <w:t>elsewhere</w:t>
      </w:r>
      <w:r>
        <w:rPr>
          <w:szCs w:val="24"/>
        </w:rPr>
        <w:t xml:space="preserve">, simply printing more money for the new program will cause price inflation, which itself would then require cuts in spending elsewhere (which could be achieved through tax hikes or borrowing, thus removing money out of the hands of the public). So to reiterate, if the reader sympathetic to MMT finds us to be outrageously condescending and pedantic by lecturing Kelton that schools and fire departments didn’t really need money, instead they needed real resources…well now you know how the rest of the economics profession feels, when Kelton </w:t>
      </w:r>
      <w:r>
        <w:rPr>
          <w:i/>
          <w:szCs w:val="24"/>
        </w:rPr>
        <w:t>et al.</w:t>
      </w:r>
      <w:r>
        <w:rPr>
          <w:szCs w:val="24"/>
        </w:rPr>
        <w:t xml:space="preserve"> lecture them that the issue with government spending isn’t finding the money, but sourcing the community’s real resources in a desirable way.</w:t>
      </w:r>
    </w:p>
    <w:p w14:paraId="0000007E" w14:textId="77777777" w:rsidR="00260E18" w:rsidRDefault="00260E18">
      <w:pPr>
        <w:rPr>
          <w:szCs w:val="24"/>
        </w:rPr>
      </w:pPr>
    </w:p>
    <w:p w14:paraId="0000007F" w14:textId="77777777" w:rsidR="00260E18" w:rsidRDefault="00000000">
      <w:pPr>
        <w:rPr>
          <w:szCs w:val="24"/>
        </w:rPr>
      </w:pPr>
      <w:r>
        <w:rPr>
          <w:szCs w:val="24"/>
        </w:rPr>
        <w:t xml:space="preserve">Back to Kelton: "In order to pass the kind of legislation that can usher in that decade of prosperity, we must believe that it is possible. We cannot let words like 'government borrowing,' 'debt,' and 'deficit’ hold us back" (2020, p. xvii). We see that for Kelton's word magic to have its effect, there are certain taboo words that must </w:t>
      </w:r>
      <w:r>
        <w:rPr>
          <w:i/>
          <w:szCs w:val="24"/>
        </w:rPr>
        <w:t xml:space="preserve">not </w:t>
      </w:r>
      <w:r>
        <w:rPr>
          <w:szCs w:val="24"/>
        </w:rPr>
        <w:t>be spoken--lest the spell be broken!</w:t>
      </w:r>
    </w:p>
    <w:p w14:paraId="00000080" w14:textId="77777777" w:rsidR="00260E18" w:rsidRDefault="00260E18">
      <w:pPr>
        <w:rPr>
          <w:szCs w:val="24"/>
        </w:rPr>
      </w:pPr>
    </w:p>
    <w:p w14:paraId="00000081" w14:textId="77777777" w:rsidR="00260E18" w:rsidRDefault="00000000">
      <w:pPr>
        <w:rPr>
          <w:szCs w:val="24"/>
        </w:rPr>
      </w:pPr>
      <w:r>
        <w:rPr>
          <w:szCs w:val="24"/>
        </w:rPr>
        <w:t>Kelton remarks that "It is not for me to decide what that world should look like" (Kelton 2020, p. xviii). Much like an earlier magician, Karl Marx, Kelton does not wish to write recipes for the cook shops of the future (see Marx 1977, p. 99).</w:t>
      </w:r>
    </w:p>
    <w:p w14:paraId="00000082" w14:textId="77777777" w:rsidR="00260E18" w:rsidRDefault="00260E18">
      <w:pPr>
        <w:rPr>
          <w:szCs w:val="24"/>
        </w:rPr>
      </w:pPr>
    </w:p>
    <w:p w14:paraId="00000083" w14:textId="77777777" w:rsidR="00260E18" w:rsidRDefault="00000000">
      <w:pPr>
        <w:rPr>
          <w:szCs w:val="24"/>
        </w:rPr>
      </w:pPr>
      <w:r>
        <w:rPr>
          <w:szCs w:val="24"/>
        </w:rPr>
        <w:t xml:space="preserve">Kelton then asks, "What if I could convince you that we can have an economy that puts people and planet first? That finding the money to do this is not the problem?" (Kelton 2020, p. 2) Once again, Kelton suggests that what is needed to build her utopia is not resources, but </w:t>
      </w:r>
      <w:r>
        <w:rPr>
          <w:i/>
          <w:szCs w:val="24"/>
        </w:rPr>
        <w:t>money</w:t>
      </w:r>
      <w:r>
        <w:rPr>
          <w:szCs w:val="24"/>
        </w:rPr>
        <w:t>.</w:t>
      </w:r>
    </w:p>
    <w:p w14:paraId="00000084" w14:textId="77777777" w:rsidR="00260E18" w:rsidRDefault="00260E18">
      <w:pPr>
        <w:rPr>
          <w:szCs w:val="24"/>
        </w:rPr>
      </w:pPr>
    </w:p>
    <w:p w14:paraId="00000085" w14:textId="77777777" w:rsidR="00260E18" w:rsidRDefault="00000000">
      <w:pPr>
        <w:rPr>
          <w:szCs w:val="24"/>
        </w:rPr>
      </w:pPr>
      <w:r>
        <w:rPr>
          <w:szCs w:val="24"/>
        </w:rPr>
        <w:t xml:space="preserve">Kelton again falls prey to focusing on money instead of real resources when she writes, "the foreclosure crisis swallowed $1 trillion in housing wealth"  (Kelton 2020, p. 7). But changes in relative prices do not destroy or even "swallow" wealth. (See, for instance, Machlup 1940, or Callahan and Murphy 2001) This is a beautiful illustration of the sleight-of-hand that Kelton employs repeatedly throughout her book. There weren’t any earthquakes, tsunamis, or giant sinkholes for that matter, that literally swallowed housing assets in the 2007-2009 crisis. And it’s not even that people had been fooled by shady contractors, into thinking particular homes were more impressive than they really were. And finally, it’s not </w:t>
      </w:r>
      <w:r>
        <w:rPr>
          <w:i/>
          <w:szCs w:val="24"/>
        </w:rPr>
        <w:t>even</w:t>
      </w:r>
      <w:r>
        <w:rPr>
          <w:szCs w:val="24"/>
        </w:rPr>
        <w:t xml:space="preserve"> the case that people’s subjective preferences for marble kitchen counters or vaulted ceilings changed. What Kelton means by “$1 trillion in housing wealth” is not so much a “real” phenomenon as it is mere numbers on a computer screen–what Warren Mosler taught us to view as akin to points awarded in a football game.</w:t>
      </w:r>
    </w:p>
    <w:p w14:paraId="00000086" w14:textId="77777777" w:rsidR="00260E18" w:rsidRDefault="00260E18">
      <w:pPr>
        <w:rPr>
          <w:szCs w:val="24"/>
        </w:rPr>
      </w:pPr>
    </w:p>
    <w:p w14:paraId="00000087" w14:textId="77777777" w:rsidR="00260E18" w:rsidRDefault="00000000">
      <w:pPr>
        <w:rPr>
          <w:szCs w:val="24"/>
        </w:rPr>
      </w:pPr>
      <w:r>
        <w:rPr>
          <w:szCs w:val="24"/>
        </w:rPr>
        <w:t>Kelton continues:</w:t>
      </w:r>
    </w:p>
    <w:p w14:paraId="00000088" w14:textId="77777777" w:rsidR="00260E18" w:rsidRDefault="00260E18">
      <w:pPr>
        <w:rPr>
          <w:szCs w:val="24"/>
        </w:rPr>
      </w:pPr>
    </w:p>
    <w:p w14:paraId="0000008A" w14:textId="77777777" w:rsidR="00260E18" w:rsidRDefault="00000000" w:rsidP="00C73B3B">
      <w:pPr>
        <w:pStyle w:val="Blockquote"/>
      </w:pPr>
      <w:r>
        <w:t>The fourth myth we'll tackle is the notion that deficits are harmful because they crowd out private investment and undermine long-term growth... It relies on the faulty assumption that in order to finance it deficits the government must compete with other borrowers for access to a limited supply of savings. (Kelton 2020, p. 10)</w:t>
      </w:r>
    </w:p>
    <w:p w14:paraId="0000008C" w14:textId="77777777" w:rsidR="00260E18" w:rsidRDefault="00260E18">
      <w:pPr>
        <w:rPr>
          <w:szCs w:val="24"/>
        </w:rPr>
      </w:pPr>
    </w:p>
    <w:p w14:paraId="0000008D" w14:textId="77777777" w:rsidR="00260E18" w:rsidRDefault="00000000">
      <w:pPr>
        <w:rPr>
          <w:szCs w:val="24"/>
        </w:rPr>
      </w:pPr>
      <w:r>
        <w:rPr>
          <w:szCs w:val="24"/>
        </w:rPr>
        <w:t xml:space="preserve">But this misstates the issue. What government spending does is direct </w:t>
      </w:r>
      <w:r>
        <w:rPr>
          <w:i/>
          <w:szCs w:val="24"/>
        </w:rPr>
        <w:t>resources</w:t>
      </w:r>
      <w:r>
        <w:rPr>
          <w:szCs w:val="24"/>
        </w:rPr>
        <w:t xml:space="preserve"> to uses different from those uses to which they would've been put in the absence of that government spending. Kelton is right that there is no reason the government can't simply create enough money to, for instance, build many more schools. But what that spending can't do is magically create the steel beams, concrete blocks, glass windows, electrical wiring, and plumbing needed to build the schools. What it can do is redirect the employment of those resources from some other use into building schools. By keeping the focus on money, Kelton is obscuring the fact that when we build a school, something else will not be built. Now perhaps that school was indeed a better use of the resources it took to build it than how they would have been employed otherwise. That is an entirely different question, and quite beyond the scope of this paper. The real problem with Kelton's claim is that simply creating more money does not magically give </w:t>
      </w:r>
      <w:r>
        <w:rPr>
          <w:szCs w:val="24"/>
        </w:rPr>
        <w:lastRenderedPageBreak/>
        <w:t>us new schools at no cost: their cost is what might have been built if the schools had not been built.</w:t>
      </w:r>
    </w:p>
    <w:p w14:paraId="0000008E" w14:textId="77777777" w:rsidR="00260E18" w:rsidRDefault="00260E18">
      <w:pPr>
        <w:rPr>
          <w:szCs w:val="24"/>
        </w:rPr>
      </w:pPr>
    </w:p>
    <w:p w14:paraId="0000008F" w14:textId="77777777" w:rsidR="00260E18" w:rsidRDefault="00000000">
      <w:pPr>
        <w:rPr>
          <w:szCs w:val="24"/>
        </w:rPr>
      </w:pPr>
      <w:r>
        <w:rPr>
          <w:szCs w:val="24"/>
        </w:rPr>
        <w:t>Kelton deplores the orthodox view that: "Taxes and borrowing come first. Spending comes last" (Kelton 2020, p. 21). But we may merely add one term to see Kelton's sleight-of-hand here: Taxes or borrowing OR creating money come first. Spending comes last. Then we see these three as merely different means to effect the transfer of resources from some other use to a use the government wishes to advance. Simply commandeering the resources would work just as well, although that sort of thing is usually frowned upon in liberal democracies, exceptions being eminent domain seizures and wartime commandeering of resources like factories. And notice too, we didn’t scramble to add the third possibility as a response to Kelton’s onslaught on our cherished dogmas. No, it is commonplace in the free-market economics community (e.g. Rothbard 1962, pp. 913-914) to say there are only three ways to fund government spending, namely taxation, borrowing (deferred taxation), and inflation (hidden taxation). This is not a novel MMT insight.</w:t>
      </w:r>
    </w:p>
    <w:p w14:paraId="00000090" w14:textId="77777777" w:rsidR="00260E18" w:rsidRDefault="00260E18">
      <w:pPr>
        <w:rPr>
          <w:szCs w:val="24"/>
        </w:rPr>
      </w:pPr>
    </w:p>
    <w:p w14:paraId="00000091" w14:textId="77777777" w:rsidR="00260E18" w:rsidRDefault="00000000">
      <w:pPr>
        <w:rPr>
          <w:szCs w:val="24"/>
        </w:rPr>
      </w:pPr>
      <w:r>
        <w:rPr>
          <w:szCs w:val="24"/>
        </w:rPr>
        <w:t>While Kelton acknowledges real resource constraints, by repeatedly focusing on money, she creates the impression that creating new money to redirect resource use, differently than taxing or spending, does not require any sacrifice on the part of any citizens of the money creating state: Printing money magically makes new resources available. But this is false: creating new money necessarily reduces the value of everyone's cash holdings, compared to where they would have stood in the absence of the money creation. In its distributional effects, creating new money is equivalent to a suitably calibrated tax on all cash holdings.</w:t>
      </w:r>
    </w:p>
    <w:p w14:paraId="00000092" w14:textId="77777777" w:rsidR="00260E18" w:rsidRDefault="00260E18">
      <w:pPr>
        <w:rPr>
          <w:szCs w:val="24"/>
        </w:rPr>
      </w:pPr>
    </w:p>
    <w:p w14:paraId="00000093" w14:textId="77777777" w:rsidR="00260E18" w:rsidRDefault="00000000">
      <w:pPr>
        <w:rPr>
          <w:szCs w:val="24"/>
        </w:rPr>
      </w:pPr>
      <w:r>
        <w:rPr>
          <w:szCs w:val="24"/>
        </w:rPr>
        <w:t>Kelton goes on to claim: "there's no reason to assume the government must raise taxes whenever it wants to invest in our economy" (Kelton 2020, p. 22).</w:t>
      </w:r>
    </w:p>
    <w:p w14:paraId="00000094" w14:textId="77777777" w:rsidR="00260E18" w:rsidRDefault="00260E18">
      <w:pPr>
        <w:rPr>
          <w:szCs w:val="24"/>
        </w:rPr>
      </w:pPr>
    </w:p>
    <w:p w14:paraId="00000095" w14:textId="4835EBBC" w:rsidR="00260E18" w:rsidRDefault="00000000">
      <w:pPr>
        <w:rPr>
          <w:szCs w:val="24"/>
        </w:rPr>
      </w:pPr>
      <w:r>
        <w:rPr>
          <w:szCs w:val="24"/>
        </w:rPr>
        <w:t>The first thing to note in this passage is the questionable use of the word "invest": is it really justified to call invading Iraq, or bailing out investment banks, our building projects th</w:t>
      </w:r>
      <w:r w:rsidR="00C73B3B">
        <w:rPr>
          <w:szCs w:val="24"/>
        </w:rPr>
        <w:t>at</w:t>
      </w:r>
      <w:r>
        <w:rPr>
          <w:szCs w:val="24"/>
        </w:rPr>
        <w:t xml:space="preserve"> curry favor with some key portion of the electorate, "investing"? But since, as argued above, creating new money is equivalent to a tax on cash holdings, we see that Kelton is again engaging in a sleight-of-hand.</w:t>
      </w:r>
    </w:p>
    <w:p w14:paraId="00000096" w14:textId="77777777" w:rsidR="00260E18" w:rsidRDefault="00260E18">
      <w:pPr>
        <w:rPr>
          <w:szCs w:val="24"/>
        </w:rPr>
      </w:pPr>
    </w:p>
    <w:p w14:paraId="00000097" w14:textId="77777777" w:rsidR="00260E18" w:rsidRDefault="00000000">
      <w:pPr>
        <w:rPr>
          <w:szCs w:val="24"/>
        </w:rPr>
      </w:pPr>
      <w:r>
        <w:rPr>
          <w:szCs w:val="24"/>
        </w:rPr>
        <w:t xml:space="preserve">Kelton continues, dismissing as delusion that "we probably believe that the government needs *our* money to help pay the bills" (Kelton 2020, p. 23). But if we look beyond the "fluttering veil of money" (Yeager and </w:t>
      </w:r>
      <w:proofErr w:type="spellStart"/>
      <w:r>
        <w:rPr>
          <w:szCs w:val="24"/>
        </w:rPr>
        <w:t>Selgin</w:t>
      </w:r>
      <w:proofErr w:type="spellEnd"/>
      <w:r>
        <w:rPr>
          <w:szCs w:val="24"/>
        </w:rPr>
        <w:t xml:space="preserve"> 1997), we see that the common sentiment is far more valid than Kelton's dismissal of it: while the government does not literally need *our* money, since it can print money itself, it nevertheless needs *our* resources </w:t>
      </w:r>
      <w:r>
        <w:rPr>
          <w:szCs w:val="24"/>
        </w:rPr>
        <w:lastRenderedPageBreak/>
        <w:t xml:space="preserve">(or more accurately, resources currently possessed by someone other than the government) in order to devote those resources to some government project. </w:t>
      </w:r>
    </w:p>
    <w:p w14:paraId="00000098" w14:textId="77777777" w:rsidR="00260E18" w:rsidRDefault="00260E18">
      <w:pPr>
        <w:rPr>
          <w:szCs w:val="24"/>
        </w:rPr>
      </w:pPr>
    </w:p>
    <w:p w14:paraId="00000099" w14:textId="77777777" w:rsidR="00260E18" w:rsidRDefault="00000000">
      <w:pPr>
        <w:pStyle w:val="Heading2"/>
      </w:pPr>
      <w:bookmarkStart w:id="6" w:name="_w6p927akiks1" w:colFirst="0" w:colLast="0"/>
      <w:bookmarkEnd w:id="6"/>
      <w:r>
        <w:t>Using Accounting…to Produce Magic Words</w:t>
      </w:r>
    </w:p>
    <w:p w14:paraId="0000009A" w14:textId="77777777" w:rsidR="00260E18" w:rsidRDefault="00260E18">
      <w:pPr>
        <w:rPr>
          <w:szCs w:val="24"/>
        </w:rPr>
      </w:pPr>
    </w:p>
    <w:p w14:paraId="0000009B" w14:textId="77777777" w:rsidR="00260E18" w:rsidRDefault="00000000">
      <w:pPr>
        <w:rPr>
          <w:szCs w:val="24"/>
        </w:rPr>
      </w:pPr>
      <w:r>
        <w:rPr>
          <w:szCs w:val="24"/>
        </w:rPr>
        <w:t>Earlier in the paper we gave an example of word magic from Warren Mosler, and in the prior section we documented several examples from Stephanie Kelton. Let us give one final demonstration of spellcasting in action, this time from another MMT guru, PhD economist Bill Mitchell.</w:t>
      </w:r>
    </w:p>
    <w:p w14:paraId="0000009C" w14:textId="77777777" w:rsidR="00260E18" w:rsidRDefault="00260E18">
      <w:pPr>
        <w:rPr>
          <w:szCs w:val="24"/>
        </w:rPr>
      </w:pPr>
    </w:p>
    <w:p w14:paraId="0000009D" w14:textId="77777777" w:rsidR="00260E18" w:rsidRDefault="00000000">
      <w:pPr>
        <w:rPr>
          <w:szCs w:val="24"/>
        </w:rPr>
      </w:pPr>
      <w:r>
        <w:rPr>
          <w:szCs w:val="24"/>
        </w:rPr>
        <w:t>In a 2010 blog post entitled, “Deficits are here to stay…get used to it,” Mitchell wrote:</w:t>
      </w:r>
    </w:p>
    <w:p w14:paraId="0000009E" w14:textId="77777777" w:rsidR="00260E18" w:rsidRDefault="00260E18">
      <w:pPr>
        <w:rPr>
          <w:szCs w:val="24"/>
        </w:rPr>
      </w:pPr>
    </w:p>
    <w:p w14:paraId="000000A0" w14:textId="77777777" w:rsidR="00260E18" w:rsidRDefault="00000000" w:rsidP="00CD607C">
      <w:pPr>
        <w:pStyle w:val="Blockquote"/>
      </w:pPr>
      <w:r>
        <w:t>The national accounts concept underpin the basic income-expenditure model... We can view this model in two ways: (a) from the perspective of the sources of spending; and (b) from the perspective of the uses of the income produced. Bringing these two perspectives…together generates the sectoral balances.</w:t>
      </w:r>
    </w:p>
    <w:p w14:paraId="000000A1" w14:textId="77777777" w:rsidR="00260E18" w:rsidRDefault="00260E18" w:rsidP="00CD607C">
      <w:pPr>
        <w:pStyle w:val="Blockquote"/>
      </w:pPr>
    </w:p>
    <w:p w14:paraId="000000A2" w14:textId="77777777" w:rsidR="00260E18" w:rsidRDefault="00000000" w:rsidP="00CD607C">
      <w:pPr>
        <w:pStyle w:val="Blockquote"/>
      </w:pPr>
      <w:r>
        <w:t>So from the sources perspective we write:</w:t>
      </w:r>
    </w:p>
    <w:p w14:paraId="000000A3" w14:textId="77777777" w:rsidR="00260E18" w:rsidRDefault="00260E18" w:rsidP="00CD607C">
      <w:pPr>
        <w:pStyle w:val="Blockquote"/>
      </w:pPr>
    </w:p>
    <w:p w14:paraId="000000A4" w14:textId="77777777" w:rsidR="00260E18" w:rsidRDefault="00000000" w:rsidP="00CD607C">
      <w:pPr>
        <w:pStyle w:val="Blockquote"/>
      </w:pPr>
      <w:r>
        <w:t>GDP = C + I + G + (X – M)</w:t>
      </w:r>
    </w:p>
    <w:p w14:paraId="000000A5" w14:textId="77777777" w:rsidR="00260E18" w:rsidRDefault="00260E18" w:rsidP="00CD607C">
      <w:pPr>
        <w:pStyle w:val="Blockquote"/>
      </w:pPr>
    </w:p>
    <w:p w14:paraId="000000A6" w14:textId="77777777" w:rsidR="00260E18" w:rsidRDefault="00000000" w:rsidP="00CD607C">
      <w:pPr>
        <w:pStyle w:val="Blockquote"/>
      </w:pPr>
      <w:r>
        <w:t>which says that total national income (GDP) is the sum of total final consumption spending (C), total private investment (I), total government spending (G) and net exports (X – M).</w:t>
      </w:r>
    </w:p>
    <w:p w14:paraId="000000A7" w14:textId="77777777" w:rsidR="00260E18" w:rsidRDefault="00260E18" w:rsidP="00CD607C">
      <w:pPr>
        <w:pStyle w:val="Blockquote"/>
      </w:pPr>
    </w:p>
    <w:p w14:paraId="000000A8" w14:textId="77777777" w:rsidR="00260E18" w:rsidRDefault="00000000" w:rsidP="00CD607C">
      <w:pPr>
        <w:pStyle w:val="Blockquote"/>
      </w:pPr>
      <w:r>
        <w:t>From the uses perspective, national income (GDP) can be used for:</w:t>
      </w:r>
    </w:p>
    <w:p w14:paraId="000000A9" w14:textId="77777777" w:rsidR="00260E18" w:rsidRDefault="00260E18" w:rsidP="00CD607C">
      <w:pPr>
        <w:pStyle w:val="Blockquote"/>
      </w:pPr>
    </w:p>
    <w:p w14:paraId="000000AA" w14:textId="77777777" w:rsidR="00260E18" w:rsidRDefault="00000000" w:rsidP="00CD607C">
      <w:pPr>
        <w:pStyle w:val="Blockquote"/>
      </w:pPr>
      <w:r>
        <w:t>GDP = C + S + T</w:t>
      </w:r>
    </w:p>
    <w:p w14:paraId="000000AB" w14:textId="77777777" w:rsidR="00260E18" w:rsidRDefault="00260E18" w:rsidP="00CD607C">
      <w:pPr>
        <w:pStyle w:val="Blockquote"/>
      </w:pPr>
    </w:p>
    <w:p w14:paraId="000000AC" w14:textId="77777777" w:rsidR="00260E18" w:rsidRDefault="00000000" w:rsidP="00CD607C">
      <w:pPr>
        <w:pStyle w:val="Blockquote"/>
      </w:pPr>
      <w:r>
        <w:t>which says that GDP (income) ultimately comes back to households who consume (C), save (S) or pay taxes (T) with it once all the distributions are made.</w:t>
      </w:r>
    </w:p>
    <w:p w14:paraId="000000AD" w14:textId="77777777" w:rsidR="00260E18" w:rsidRDefault="00260E18" w:rsidP="00CD607C">
      <w:pPr>
        <w:pStyle w:val="Blockquote"/>
      </w:pPr>
    </w:p>
    <w:p w14:paraId="000000AE" w14:textId="77777777" w:rsidR="00260E18" w:rsidRDefault="00000000" w:rsidP="00CD607C">
      <w:pPr>
        <w:pStyle w:val="Blockquote"/>
      </w:pPr>
      <w:r>
        <w:t>So if we equate these two perspectives of GDP, we get:</w:t>
      </w:r>
    </w:p>
    <w:p w14:paraId="000000AF" w14:textId="77777777" w:rsidR="00260E18" w:rsidRDefault="00260E18" w:rsidP="00CD607C">
      <w:pPr>
        <w:pStyle w:val="Blockquote"/>
      </w:pPr>
    </w:p>
    <w:p w14:paraId="000000B0" w14:textId="77777777" w:rsidR="00260E18" w:rsidRDefault="00000000" w:rsidP="00CD607C">
      <w:pPr>
        <w:pStyle w:val="Blockquote"/>
      </w:pPr>
      <w:r>
        <w:t>C + S + T = C + I + G + (X – M)</w:t>
      </w:r>
    </w:p>
    <w:p w14:paraId="000000B1" w14:textId="77777777" w:rsidR="00260E18" w:rsidRDefault="00260E18" w:rsidP="00CD607C">
      <w:pPr>
        <w:pStyle w:val="Blockquote"/>
      </w:pPr>
    </w:p>
    <w:p w14:paraId="000000B2" w14:textId="77777777" w:rsidR="00260E18" w:rsidRDefault="00000000" w:rsidP="00CD607C">
      <w:pPr>
        <w:pStyle w:val="Blockquote"/>
      </w:pPr>
      <w:r>
        <w:t>This can be simplified…into what we call the sectoral balances view of the national accounts.</w:t>
      </w:r>
    </w:p>
    <w:p w14:paraId="000000B3" w14:textId="77777777" w:rsidR="00260E18" w:rsidRDefault="00260E18" w:rsidP="00CD607C">
      <w:pPr>
        <w:pStyle w:val="Blockquote"/>
      </w:pPr>
    </w:p>
    <w:p w14:paraId="000000B4" w14:textId="77777777" w:rsidR="00260E18" w:rsidRDefault="00000000" w:rsidP="00CD607C">
      <w:pPr>
        <w:pStyle w:val="Blockquote"/>
      </w:pPr>
      <w:r>
        <w:t>(I – S) + (G – T) + (X – M) = 0</w:t>
      </w:r>
    </w:p>
    <w:p w14:paraId="000000B5" w14:textId="77777777" w:rsidR="00260E18" w:rsidRDefault="00260E18" w:rsidP="00CD607C">
      <w:pPr>
        <w:pStyle w:val="Blockquote"/>
      </w:pPr>
    </w:p>
    <w:p w14:paraId="000000B6" w14:textId="77777777" w:rsidR="00260E18" w:rsidRDefault="00000000" w:rsidP="00CD607C">
      <w:pPr>
        <w:pStyle w:val="Blockquote"/>
      </w:pPr>
      <w:r>
        <w:t>…The sectoral balances derived are:</w:t>
      </w:r>
    </w:p>
    <w:p w14:paraId="000000B7" w14:textId="77777777" w:rsidR="00260E18" w:rsidRDefault="00000000" w:rsidP="00CD607C">
      <w:pPr>
        <w:pStyle w:val="Blockquote"/>
      </w:pPr>
      <w:r>
        <w:t>•</w:t>
      </w:r>
      <w:r>
        <w:tab/>
        <w:t>The private domestic balance (I – S)...</w:t>
      </w:r>
    </w:p>
    <w:p w14:paraId="000000B8" w14:textId="77777777" w:rsidR="00260E18" w:rsidRDefault="00000000" w:rsidP="00CD607C">
      <w:pPr>
        <w:pStyle w:val="Blockquote"/>
      </w:pPr>
      <w:r>
        <w:t>•</w:t>
      </w:r>
      <w:r>
        <w:tab/>
        <w:t>The Budget Deficit (G – T)...</w:t>
      </w:r>
    </w:p>
    <w:p w14:paraId="000000B9" w14:textId="77777777" w:rsidR="00260E18" w:rsidRDefault="00000000" w:rsidP="00CD607C">
      <w:pPr>
        <w:pStyle w:val="Blockquote"/>
      </w:pPr>
      <w:r>
        <w:t>•</w:t>
      </w:r>
      <w:r>
        <w:tab/>
        <w:t>The Current Account balance (X – M)...</w:t>
      </w:r>
    </w:p>
    <w:p w14:paraId="000000BA" w14:textId="77777777" w:rsidR="00260E18" w:rsidRDefault="00000000" w:rsidP="00CD607C">
      <w:pPr>
        <w:pStyle w:val="Blockquote"/>
      </w:pPr>
      <w:r>
        <w:t>…</w:t>
      </w:r>
    </w:p>
    <w:p w14:paraId="000000BB" w14:textId="77777777" w:rsidR="00260E18" w:rsidRDefault="00000000" w:rsidP="00CD607C">
      <w:pPr>
        <w:pStyle w:val="Blockquote"/>
        <w:rPr>
          <w:b/>
        </w:rPr>
      </w:pPr>
      <w:r>
        <w:t xml:space="preserve">A simplification is to add (I – S) + (X – M) and call it the non-government sector. Then </w:t>
      </w:r>
      <w:r>
        <w:rPr>
          <w:b/>
        </w:rPr>
        <w:t>you get the basic result that the government balance equals exactly $-for-$...the non-government balance…</w:t>
      </w:r>
    </w:p>
    <w:p w14:paraId="000000BC" w14:textId="77777777" w:rsidR="00260E18" w:rsidRDefault="00000000" w:rsidP="00CD607C">
      <w:pPr>
        <w:pStyle w:val="Blockquote"/>
      </w:pPr>
      <w:r>
        <w:t>…</w:t>
      </w:r>
    </w:p>
    <w:p w14:paraId="000000BD" w14:textId="77777777" w:rsidR="00260E18" w:rsidRDefault="00000000" w:rsidP="00CD607C">
      <w:pPr>
        <w:pStyle w:val="Blockquote"/>
      </w:pPr>
      <w:r>
        <w:rPr>
          <w:b/>
        </w:rPr>
        <w:t>The only way to get income growth going in [the post-2008 crisis] context and to allow the private sector surpluses to build was to increase the deficits</w:t>
      </w:r>
      <w:r>
        <w:t xml:space="preserve"> beyond the impact of the automatic </w:t>
      </w:r>
      <w:proofErr w:type="spellStart"/>
      <w:r>
        <w:t>stabilisers</w:t>
      </w:r>
      <w:proofErr w:type="spellEnd"/>
      <w:r>
        <w:t>. (Mitchell 2010, bold added)</w:t>
      </w:r>
    </w:p>
    <w:p w14:paraId="000000BF" w14:textId="77777777" w:rsidR="00260E18" w:rsidRDefault="00260E18">
      <w:pPr>
        <w:rPr>
          <w:szCs w:val="24"/>
        </w:rPr>
      </w:pPr>
    </w:p>
    <w:p w14:paraId="000000C0" w14:textId="77777777" w:rsidR="00260E18" w:rsidRDefault="00000000">
      <w:pPr>
        <w:rPr>
          <w:szCs w:val="24"/>
        </w:rPr>
      </w:pPr>
      <w:r>
        <w:rPr>
          <w:szCs w:val="24"/>
        </w:rPr>
        <w:t xml:space="preserve">We hope the reader will forgive the lengthy exposition, but we can see its result: It allowed Mitchell to argue that the scary </w:t>
      </w:r>
      <w:r>
        <w:rPr>
          <w:i/>
          <w:szCs w:val="24"/>
        </w:rPr>
        <w:t>government budget</w:t>
      </w:r>
      <w:r>
        <w:rPr>
          <w:szCs w:val="24"/>
        </w:rPr>
        <w:t xml:space="preserve"> </w:t>
      </w:r>
      <w:r>
        <w:rPr>
          <w:i/>
          <w:szCs w:val="24"/>
        </w:rPr>
        <w:t>deficits</w:t>
      </w:r>
      <w:r>
        <w:rPr>
          <w:szCs w:val="24"/>
        </w:rPr>
        <w:t xml:space="preserve"> that so worry Elon Musk and Thomas Massie are really just </w:t>
      </w:r>
      <w:r>
        <w:rPr>
          <w:i/>
          <w:szCs w:val="24"/>
        </w:rPr>
        <w:t>private sector surpluses</w:t>
      </w:r>
      <w:r>
        <w:rPr>
          <w:szCs w:val="24"/>
        </w:rPr>
        <w:t xml:space="preserve">. In a similar vein, you might also hear </w:t>
      </w:r>
      <w:proofErr w:type="spellStart"/>
      <w:r>
        <w:rPr>
          <w:szCs w:val="24"/>
        </w:rPr>
        <w:t>MMTers</w:t>
      </w:r>
      <w:proofErr w:type="spellEnd"/>
      <w:r>
        <w:rPr>
          <w:szCs w:val="24"/>
        </w:rPr>
        <w:t xml:space="preserve"> say that government budget deficits are the only way to create private “financial net worth” (</w:t>
      </w:r>
      <w:proofErr w:type="spellStart"/>
      <w:r>
        <w:rPr>
          <w:szCs w:val="24"/>
        </w:rPr>
        <w:t>Tankus</w:t>
      </w:r>
      <w:proofErr w:type="spellEnd"/>
      <w:r>
        <w:rPr>
          <w:szCs w:val="24"/>
        </w:rPr>
        <w:t xml:space="preserve"> 2025) or “financial net wealth” (</w:t>
      </w:r>
      <w:proofErr w:type="spellStart"/>
      <w:r>
        <w:rPr>
          <w:szCs w:val="24"/>
        </w:rPr>
        <w:t>Tymoigne</w:t>
      </w:r>
      <w:proofErr w:type="spellEnd"/>
      <w:r>
        <w:rPr>
          <w:szCs w:val="24"/>
        </w:rPr>
        <w:t xml:space="preserve"> 2021, p. 57).  As Kelton (2023) herself put it: “Their red ink makes our black ink possible.”</w:t>
      </w:r>
    </w:p>
    <w:p w14:paraId="000000C1" w14:textId="77777777" w:rsidR="00260E18" w:rsidRDefault="00260E18">
      <w:pPr>
        <w:rPr>
          <w:szCs w:val="24"/>
        </w:rPr>
      </w:pPr>
    </w:p>
    <w:p w14:paraId="000000C2" w14:textId="77777777" w:rsidR="00260E18" w:rsidRDefault="00000000">
      <w:pPr>
        <w:rPr>
          <w:szCs w:val="24"/>
        </w:rPr>
      </w:pPr>
      <w:r>
        <w:rPr>
          <w:szCs w:val="24"/>
        </w:rPr>
        <w:t xml:space="preserve">We’ve come full circle to our “homeless” scenario. Recall our earlier discussion: Rather than offer anything substantive, activists change the label to “the unhoused,” which is either a useless waste of time </w:t>
      </w:r>
      <w:r>
        <w:rPr>
          <w:i/>
          <w:szCs w:val="24"/>
        </w:rPr>
        <w:t>or</w:t>
      </w:r>
      <w:r>
        <w:rPr>
          <w:szCs w:val="24"/>
        </w:rPr>
        <w:t xml:space="preserve">--even worse--subtly smuggles in a preferred policy </w:t>
      </w:r>
      <w:r>
        <w:rPr>
          <w:szCs w:val="24"/>
        </w:rPr>
        <w:lastRenderedPageBreak/>
        <w:t>prescription (more government spending on housing) under the guise of a mere clarification in nomenclature.</w:t>
      </w:r>
    </w:p>
    <w:p w14:paraId="000000C3" w14:textId="77777777" w:rsidR="00260E18" w:rsidRDefault="00260E18">
      <w:pPr>
        <w:rPr>
          <w:szCs w:val="24"/>
        </w:rPr>
      </w:pPr>
    </w:p>
    <w:p w14:paraId="000000C4" w14:textId="77777777" w:rsidR="00260E18" w:rsidRDefault="00000000">
      <w:pPr>
        <w:rPr>
          <w:szCs w:val="24"/>
        </w:rPr>
      </w:pPr>
      <w:r>
        <w:rPr>
          <w:szCs w:val="24"/>
        </w:rPr>
        <w:t xml:space="preserve">We have the same situation with MMT and its handling of the budget deficit: Rather than propose some new way to ease the tradeoffs involved, or to make a moral argument about which priorities should take precedence, instead the </w:t>
      </w:r>
      <w:proofErr w:type="spellStart"/>
      <w:r>
        <w:rPr>
          <w:szCs w:val="24"/>
        </w:rPr>
        <w:t>MMTers</w:t>
      </w:r>
      <w:proofErr w:type="spellEnd"/>
      <w:r>
        <w:rPr>
          <w:szCs w:val="24"/>
        </w:rPr>
        <w:t xml:space="preserve"> change the label from “government debt held by the public” to “private net financial wealth.” This change in nomenclature per se is--we claim--a useless waste of time or, even worse, subtly smuggles in a preferred policy prescription of larger government deficit spending. And yet, if anyone bristles that this change in terminology will surely mislead some in the public into thinking that the private sector can only accumulate wealth or enjoy aggregate profits (“black ink”) if the government perpetually runs up the debt, then the </w:t>
      </w:r>
      <w:proofErr w:type="spellStart"/>
      <w:r>
        <w:rPr>
          <w:szCs w:val="24"/>
        </w:rPr>
        <w:t>MMTers</w:t>
      </w:r>
      <w:proofErr w:type="spellEnd"/>
      <w:r>
        <w:rPr>
          <w:szCs w:val="24"/>
        </w:rPr>
        <w:t xml:space="preserve"> can act shocked and explain that they are merely running through accounting trivia. In short, word magic at its finest.</w:t>
      </w:r>
      <w:r>
        <w:rPr>
          <w:szCs w:val="24"/>
          <w:vertAlign w:val="superscript"/>
        </w:rPr>
        <w:footnoteReference w:id="5"/>
      </w:r>
    </w:p>
    <w:p w14:paraId="000000C5" w14:textId="77777777" w:rsidR="00260E18" w:rsidRDefault="00000000">
      <w:pPr>
        <w:pStyle w:val="Heading2"/>
      </w:pPr>
      <w:bookmarkStart w:id="7" w:name="_c85g67geak7d" w:colFirst="0" w:colLast="0"/>
      <w:bookmarkEnd w:id="7"/>
      <w:r>
        <w:t>Conclusion</w:t>
      </w:r>
    </w:p>
    <w:p w14:paraId="000000C6" w14:textId="77777777" w:rsidR="00260E18" w:rsidRDefault="00260E18"/>
    <w:p w14:paraId="000000C7" w14:textId="77777777" w:rsidR="00260E18" w:rsidRDefault="00000000">
      <w:pPr>
        <w:rPr>
          <w:szCs w:val="24"/>
        </w:rPr>
      </w:pPr>
      <w:r>
        <w:rPr>
          <w:szCs w:val="24"/>
        </w:rPr>
        <w:t>The effect of government spending is always to divert the use of real resources into uses different from how private citizens would have employed them. The question of whether such a diversion is ever justified, or rarely justified, or commonly justified, is quite deliberately not something we have addressed in this paper.</w:t>
      </w:r>
    </w:p>
    <w:p w14:paraId="000000C8" w14:textId="77777777" w:rsidR="00260E18" w:rsidRDefault="00260E18">
      <w:pPr>
        <w:rPr>
          <w:szCs w:val="24"/>
        </w:rPr>
      </w:pPr>
    </w:p>
    <w:p w14:paraId="000000CA" w14:textId="575B6C12" w:rsidR="00260E18" w:rsidRDefault="00000000">
      <w:pPr>
        <w:rPr>
          <w:szCs w:val="24"/>
        </w:rPr>
      </w:pPr>
      <w:r>
        <w:rPr>
          <w:szCs w:val="24"/>
        </w:rPr>
        <w:t>For our purposes, what was important to show is that taxation, government borrowing, and government money creation are simply three different methods for achieving that diversion of resources into government projects. If one is in favor of such a diversion, there may be circumstantial reasons for preferring one of these methods to the other two for achieving that goal. But given that they all have the same essential effect, it should be clear that no utopian result could be achieved just by choosing one of these methods over the others.</w:t>
      </w:r>
    </w:p>
    <w:p w14:paraId="6B517D46" w14:textId="77777777" w:rsidR="00CD607C" w:rsidRDefault="00CD607C">
      <w:pPr>
        <w:rPr>
          <w:szCs w:val="24"/>
        </w:rPr>
      </w:pPr>
    </w:p>
    <w:p w14:paraId="000000CB" w14:textId="77777777" w:rsidR="00260E18" w:rsidRDefault="00000000">
      <w:r>
        <w:rPr>
          <w:szCs w:val="24"/>
        </w:rPr>
        <w:lastRenderedPageBreak/>
        <w:t>It is only through engaging in word magic, by a sleight-of-hand that puts our focus on money, rather than real resources, that the advocates for MMT can make their utopia seem plausible.</w:t>
      </w:r>
    </w:p>
    <w:p w14:paraId="000000CC" w14:textId="77777777" w:rsidR="00260E18" w:rsidRDefault="00260E18"/>
    <w:p w14:paraId="000000CD" w14:textId="77777777" w:rsidR="00260E18" w:rsidRDefault="00000000">
      <w:pPr>
        <w:pStyle w:val="Heading2"/>
      </w:pPr>
      <w:bookmarkStart w:id="8" w:name="_hh6va3wyruf2" w:colFirst="0" w:colLast="0"/>
      <w:bookmarkEnd w:id="8"/>
      <w:r>
        <w:t>Bibliography</w:t>
      </w:r>
    </w:p>
    <w:p w14:paraId="000000CE" w14:textId="77777777" w:rsidR="00260E18" w:rsidRDefault="00000000">
      <w:pPr>
        <w:rPr>
          <w:szCs w:val="24"/>
        </w:rPr>
      </w:pPr>
      <w:r>
        <w:rPr>
          <w:szCs w:val="24"/>
        </w:rPr>
        <w:t xml:space="preserve">al-Gharbi, Musa. 2024. </w:t>
      </w:r>
      <w:r>
        <w:rPr>
          <w:i/>
          <w:szCs w:val="24"/>
        </w:rPr>
        <w:t>We Have Never Been Woke: The Cultural Contradictions of a New Elite</w:t>
      </w:r>
      <w:r>
        <w:rPr>
          <w:szCs w:val="24"/>
        </w:rPr>
        <w:t xml:space="preserve">. </w:t>
      </w:r>
      <w:r>
        <w:rPr>
          <w:color w:val="2B3545"/>
          <w:szCs w:val="24"/>
          <w:highlight w:val="white"/>
        </w:rPr>
        <w:t>Princeton, New Jersey: Princeton University Press.</w:t>
      </w:r>
    </w:p>
    <w:p w14:paraId="000000CF" w14:textId="77777777" w:rsidR="00260E18" w:rsidRDefault="00260E18">
      <w:pPr>
        <w:rPr>
          <w:szCs w:val="24"/>
        </w:rPr>
      </w:pPr>
    </w:p>
    <w:p w14:paraId="000000D0" w14:textId="77777777" w:rsidR="00260E18" w:rsidRDefault="00000000">
      <w:pPr>
        <w:rPr>
          <w:szCs w:val="24"/>
        </w:rPr>
      </w:pPr>
      <w:r>
        <w:rPr>
          <w:szCs w:val="24"/>
        </w:rPr>
        <w:t xml:space="preserve">Callahan, Gene and Robert P. Murphy. 2001. "Spilled Milk." </w:t>
      </w:r>
      <w:r>
        <w:rPr>
          <w:i/>
          <w:szCs w:val="24"/>
        </w:rPr>
        <w:t>Mises Daily</w:t>
      </w:r>
      <w:r>
        <w:rPr>
          <w:szCs w:val="24"/>
        </w:rPr>
        <w:t xml:space="preserve">. </w:t>
      </w:r>
      <w:hyperlink r:id="rId9">
        <w:r>
          <w:rPr>
            <w:color w:val="1155CC"/>
            <w:szCs w:val="24"/>
            <w:u w:val="single"/>
          </w:rPr>
          <w:t>https://mises.org/es/node/70248</w:t>
        </w:r>
      </w:hyperlink>
      <w:r>
        <w:rPr>
          <w:szCs w:val="24"/>
        </w:rPr>
        <w:t>.</w:t>
      </w:r>
    </w:p>
    <w:p w14:paraId="000000D1" w14:textId="77777777" w:rsidR="00260E18" w:rsidRDefault="00260E18">
      <w:pPr>
        <w:rPr>
          <w:szCs w:val="24"/>
        </w:rPr>
      </w:pPr>
    </w:p>
    <w:p w14:paraId="000000D2" w14:textId="77777777" w:rsidR="00260E18" w:rsidRDefault="00000000">
      <w:pPr>
        <w:rPr>
          <w:szCs w:val="24"/>
        </w:rPr>
      </w:pPr>
      <w:r>
        <w:rPr>
          <w:szCs w:val="24"/>
        </w:rPr>
        <w:t xml:space="preserve">Callahan, Gene. 2024. "John Gray: In Conversation." </w:t>
      </w:r>
      <w:r>
        <w:rPr>
          <w:i/>
          <w:szCs w:val="24"/>
        </w:rPr>
        <w:t>Modern Age</w:t>
      </w:r>
      <w:r>
        <w:rPr>
          <w:szCs w:val="24"/>
        </w:rPr>
        <w:t>, Winter 2024.</w:t>
      </w:r>
    </w:p>
    <w:p w14:paraId="000000D3" w14:textId="77777777" w:rsidR="00260E18" w:rsidRDefault="00260E18"/>
    <w:p w14:paraId="000000D4" w14:textId="77777777" w:rsidR="00260E18" w:rsidRDefault="00000000">
      <w:pPr>
        <w:rPr>
          <w:color w:val="2B3545"/>
          <w:szCs w:val="24"/>
          <w:highlight w:val="white"/>
        </w:rPr>
      </w:pPr>
      <w:r>
        <w:rPr>
          <w:color w:val="2B3545"/>
          <w:szCs w:val="24"/>
          <w:highlight w:val="white"/>
        </w:rPr>
        <w:t xml:space="preserve">Carlin, George. 2013. YouTube clip. Available at: </w:t>
      </w:r>
      <w:hyperlink r:id="rId10">
        <w:r>
          <w:rPr>
            <w:color w:val="1155CC"/>
            <w:szCs w:val="24"/>
            <w:highlight w:val="white"/>
            <w:u w:val="single"/>
          </w:rPr>
          <w:t>https://www.youtube.com/watch?v=lncLOEqc9Rw</w:t>
        </w:r>
      </w:hyperlink>
      <w:r>
        <w:rPr>
          <w:color w:val="2B3545"/>
          <w:szCs w:val="24"/>
          <w:highlight w:val="white"/>
        </w:rPr>
        <w:t>, relevant section starts 3:28.</w:t>
      </w:r>
    </w:p>
    <w:p w14:paraId="000000D5" w14:textId="77777777" w:rsidR="00260E18" w:rsidRDefault="00260E18">
      <w:pPr>
        <w:rPr>
          <w:color w:val="2B3545"/>
          <w:szCs w:val="24"/>
          <w:highlight w:val="white"/>
        </w:rPr>
      </w:pPr>
    </w:p>
    <w:p w14:paraId="000000D6" w14:textId="77777777" w:rsidR="00260E18" w:rsidRDefault="00000000">
      <w:pPr>
        <w:rPr>
          <w:color w:val="2B3545"/>
          <w:szCs w:val="24"/>
          <w:highlight w:val="white"/>
        </w:rPr>
      </w:pPr>
      <w:r>
        <w:rPr>
          <w:color w:val="2B3545"/>
          <w:szCs w:val="24"/>
          <w:highlight w:val="white"/>
        </w:rPr>
        <w:t xml:space="preserve">Eliade, Mircea. 1978. </w:t>
      </w:r>
      <w:r>
        <w:rPr>
          <w:i/>
          <w:color w:val="2B3545"/>
          <w:szCs w:val="24"/>
          <w:highlight w:val="white"/>
        </w:rPr>
        <w:t>The Forge and the Crucible : The Origins and Structures of Alchemy</w:t>
      </w:r>
      <w:r>
        <w:rPr>
          <w:color w:val="2B3545"/>
          <w:szCs w:val="24"/>
          <w:highlight w:val="white"/>
        </w:rPr>
        <w:t>. 2d ed. Chicago: University of Chicago Press.</w:t>
      </w:r>
    </w:p>
    <w:p w14:paraId="000000D7" w14:textId="77777777" w:rsidR="00260E18" w:rsidRDefault="00260E18">
      <w:pPr>
        <w:rPr>
          <w:color w:val="2B3545"/>
          <w:szCs w:val="24"/>
          <w:highlight w:val="white"/>
        </w:rPr>
      </w:pPr>
    </w:p>
    <w:p w14:paraId="000000D8" w14:textId="77777777" w:rsidR="00260E18" w:rsidRDefault="00000000">
      <w:pPr>
        <w:rPr>
          <w:b/>
          <w:color w:val="242424"/>
          <w:szCs w:val="24"/>
          <w:highlight w:val="white"/>
        </w:rPr>
      </w:pPr>
      <w:r>
        <w:rPr>
          <w:color w:val="2B3545"/>
          <w:szCs w:val="24"/>
          <w:highlight w:val="white"/>
        </w:rPr>
        <w:t xml:space="preserve">Hodges, Rick. 2015. "The Rise and Fall of 'Mentally Retarded'." </w:t>
      </w:r>
      <w:r>
        <w:rPr>
          <w:i/>
          <w:color w:val="2B3545"/>
          <w:szCs w:val="24"/>
          <w:highlight w:val="white"/>
        </w:rPr>
        <w:t>Medium</w:t>
      </w:r>
      <w:r>
        <w:rPr>
          <w:color w:val="2B3545"/>
          <w:szCs w:val="24"/>
          <w:highlight w:val="white"/>
        </w:rPr>
        <w:t xml:space="preserve">. </w:t>
      </w:r>
      <w:hyperlink r:id="rId11">
        <w:r>
          <w:rPr>
            <w:color w:val="1155CC"/>
            <w:szCs w:val="24"/>
            <w:highlight w:val="white"/>
            <w:u w:val="single"/>
          </w:rPr>
          <w:t>https://humanparts.medium.com/the-rise-and-fall-of-mentally-retarded-e3b9eea23018</w:t>
        </w:r>
      </w:hyperlink>
      <w:r>
        <w:rPr>
          <w:b/>
          <w:color w:val="242424"/>
          <w:szCs w:val="24"/>
          <w:highlight w:val="white"/>
        </w:rPr>
        <w:t>.</w:t>
      </w:r>
    </w:p>
    <w:p w14:paraId="000000D9" w14:textId="77777777" w:rsidR="00260E18" w:rsidRDefault="00260E18">
      <w:pPr>
        <w:rPr>
          <w:b/>
          <w:color w:val="242424"/>
          <w:szCs w:val="24"/>
          <w:highlight w:val="white"/>
        </w:rPr>
      </w:pPr>
    </w:p>
    <w:p w14:paraId="000000DA" w14:textId="77777777" w:rsidR="00260E18" w:rsidRDefault="00000000">
      <w:pPr>
        <w:rPr>
          <w:color w:val="2B3545"/>
          <w:szCs w:val="24"/>
          <w:highlight w:val="white"/>
        </w:rPr>
      </w:pPr>
      <w:r>
        <w:rPr>
          <w:color w:val="2B3545"/>
          <w:szCs w:val="24"/>
          <w:highlight w:val="white"/>
        </w:rPr>
        <w:t xml:space="preserve">Keen, Sam. 2011. "Newton, the Last Magician." </w:t>
      </w:r>
      <w:r>
        <w:rPr>
          <w:i/>
          <w:color w:val="2B3545"/>
          <w:szCs w:val="24"/>
          <w:highlight w:val="white"/>
        </w:rPr>
        <w:t>Humanities</w:t>
      </w:r>
      <w:r>
        <w:rPr>
          <w:color w:val="2B3545"/>
          <w:szCs w:val="24"/>
          <w:highlight w:val="white"/>
        </w:rPr>
        <w:t xml:space="preserve">. </w:t>
      </w:r>
      <w:hyperlink r:id="rId12">
        <w:r>
          <w:rPr>
            <w:color w:val="1155CC"/>
            <w:szCs w:val="24"/>
            <w:highlight w:val="white"/>
            <w:u w:val="single"/>
          </w:rPr>
          <w:t>https://www.neh.gov/humanities/2011/januaryfebruary/feature/newton-the-last-magician</w:t>
        </w:r>
      </w:hyperlink>
      <w:r>
        <w:rPr>
          <w:color w:val="2B3545"/>
          <w:szCs w:val="24"/>
          <w:highlight w:val="white"/>
        </w:rPr>
        <w:t xml:space="preserve">. </w:t>
      </w:r>
    </w:p>
    <w:p w14:paraId="000000DB" w14:textId="77777777" w:rsidR="00260E18" w:rsidRDefault="00260E18">
      <w:pPr>
        <w:rPr>
          <w:color w:val="2B3545"/>
          <w:szCs w:val="24"/>
          <w:highlight w:val="white"/>
        </w:rPr>
      </w:pPr>
    </w:p>
    <w:p w14:paraId="000000DC" w14:textId="77777777" w:rsidR="00260E18" w:rsidRDefault="00000000">
      <w:pPr>
        <w:rPr>
          <w:color w:val="2B3545"/>
          <w:szCs w:val="24"/>
          <w:highlight w:val="white"/>
        </w:rPr>
      </w:pPr>
      <w:r>
        <w:rPr>
          <w:color w:val="2B3545"/>
          <w:szCs w:val="24"/>
          <w:highlight w:val="white"/>
        </w:rPr>
        <w:t xml:space="preserve">Kelton, Stephanie. 2020. </w:t>
      </w:r>
      <w:r>
        <w:rPr>
          <w:i/>
          <w:color w:val="2B3545"/>
          <w:szCs w:val="24"/>
        </w:rPr>
        <w:t>The Deficit Myth : Modern Monetary Theory and the Birth of the People’s Economy</w:t>
      </w:r>
      <w:r>
        <w:rPr>
          <w:color w:val="2B3545"/>
          <w:szCs w:val="24"/>
          <w:highlight w:val="white"/>
        </w:rPr>
        <w:t>. First edition. New York, NY: PublicAffairs, Hatchette Book Group.</w:t>
      </w:r>
    </w:p>
    <w:p w14:paraId="000000DD" w14:textId="77777777" w:rsidR="00260E18" w:rsidRDefault="00000000">
      <w:pPr>
        <w:rPr>
          <w:color w:val="2B3545"/>
          <w:szCs w:val="24"/>
          <w:highlight w:val="white"/>
        </w:rPr>
      </w:pPr>
      <w:r>
        <w:rPr>
          <w:color w:val="2B3545"/>
          <w:szCs w:val="24"/>
          <w:highlight w:val="white"/>
        </w:rPr>
        <w:t xml:space="preserve">–—- 2021. TED Talk. “Stephanie Kelton: The big myth of government deficits.” October 13, 2021. Available at: </w:t>
      </w:r>
      <w:hyperlink r:id="rId13">
        <w:r>
          <w:rPr>
            <w:color w:val="1155CC"/>
            <w:szCs w:val="24"/>
            <w:highlight w:val="white"/>
            <w:u w:val="single"/>
          </w:rPr>
          <w:t>https://www.youtube.com/watch?v=FATQ0Yf0Fhc</w:t>
        </w:r>
      </w:hyperlink>
      <w:r>
        <w:rPr>
          <w:color w:val="2B3545"/>
          <w:szCs w:val="24"/>
          <w:highlight w:val="white"/>
        </w:rPr>
        <w:t xml:space="preserve"> </w:t>
      </w:r>
    </w:p>
    <w:p w14:paraId="000000DE" w14:textId="77777777" w:rsidR="00260E18" w:rsidRDefault="00000000">
      <w:pPr>
        <w:rPr>
          <w:color w:val="2B3545"/>
          <w:szCs w:val="24"/>
          <w:highlight w:val="white"/>
        </w:rPr>
      </w:pPr>
      <w:r>
        <w:rPr>
          <w:color w:val="2B3545"/>
          <w:szCs w:val="24"/>
          <w:highlight w:val="white"/>
        </w:rPr>
        <w:t xml:space="preserve">—---2023. X post, June 12. Available at: </w:t>
      </w:r>
      <w:hyperlink r:id="rId14">
        <w:r>
          <w:rPr>
            <w:color w:val="1155CC"/>
            <w:szCs w:val="24"/>
            <w:highlight w:val="white"/>
            <w:u w:val="single"/>
          </w:rPr>
          <w:t>https://x.com/StephanieKelton/status/1668394888658911232</w:t>
        </w:r>
      </w:hyperlink>
      <w:r>
        <w:rPr>
          <w:color w:val="2B3545"/>
          <w:szCs w:val="24"/>
          <w:highlight w:val="white"/>
        </w:rPr>
        <w:t xml:space="preserve">  </w:t>
      </w:r>
    </w:p>
    <w:p w14:paraId="000000DF" w14:textId="77777777" w:rsidR="00260E18" w:rsidRDefault="00260E18">
      <w:pPr>
        <w:rPr>
          <w:color w:val="2B3545"/>
          <w:szCs w:val="24"/>
          <w:highlight w:val="white"/>
        </w:rPr>
      </w:pPr>
    </w:p>
    <w:p w14:paraId="000000E0" w14:textId="77777777" w:rsidR="00260E18" w:rsidRDefault="00000000">
      <w:pPr>
        <w:rPr>
          <w:color w:val="2B3545"/>
          <w:szCs w:val="24"/>
          <w:highlight w:val="white"/>
        </w:rPr>
      </w:pPr>
      <w:r>
        <w:rPr>
          <w:color w:val="2B3545"/>
          <w:szCs w:val="24"/>
          <w:highlight w:val="white"/>
        </w:rPr>
        <w:t xml:space="preserve">Krugman, Paul. 2019. “Running on MMT: Trying to get this debate beyond Calvinball.” </w:t>
      </w:r>
      <w:r>
        <w:rPr>
          <w:i/>
          <w:color w:val="2B3545"/>
          <w:szCs w:val="24"/>
          <w:highlight w:val="white"/>
        </w:rPr>
        <w:t>New York Times</w:t>
      </w:r>
      <w:r>
        <w:rPr>
          <w:color w:val="2B3545"/>
          <w:szCs w:val="24"/>
          <w:highlight w:val="white"/>
        </w:rPr>
        <w:t xml:space="preserve"> blog post. February 25, 2019. Available at: </w:t>
      </w:r>
      <w:hyperlink r:id="rId15">
        <w:r>
          <w:rPr>
            <w:color w:val="1155CC"/>
            <w:szCs w:val="24"/>
            <w:highlight w:val="white"/>
            <w:u w:val="single"/>
          </w:rPr>
          <w:t>https://www.nytimes.com/2019/02/25/opinion/running-on-mmt-wonkish.html</w:t>
        </w:r>
      </w:hyperlink>
      <w:r>
        <w:rPr>
          <w:color w:val="2B3545"/>
          <w:szCs w:val="24"/>
          <w:highlight w:val="white"/>
        </w:rPr>
        <w:t>.</w:t>
      </w:r>
    </w:p>
    <w:p w14:paraId="000000E1" w14:textId="77777777" w:rsidR="00260E18" w:rsidRDefault="00260E18">
      <w:pPr>
        <w:rPr>
          <w:color w:val="2B3545"/>
          <w:szCs w:val="24"/>
          <w:highlight w:val="white"/>
        </w:rPr>
      </w:pPr>
    </w:p>
    <w:p w14:paraId="000000E2" w14:textId="77777777" w:rsidR="00260E18" w:rsidRDefault="00000000">
      <w:pPr>
        <w:rPr>
          <w:color w:val="2B3545"/>
          <w:szCs w:val="24"/>
          <w:highlight w:val="white"/>
        </w:rPr>
      </w:pPr>
      <w:r>
        <w:rPr>
          <w:color w:val="2B3545"/>
          <w:szCs w:val="24"/>
          <w:highlight w:val="white"/>
        </w:rPr>
        <w:t xml:space="preserve">Kurzweil, Ray. 1999. </w:t>
      </w:r>
      <w:r>
        <w:rPr>
          <w:i/>
          <w:color w:val="2B3545"/>
          <w:szCs w:val="24"/>
          <w:highlight w:val="white"/>
        </w:rPr>
        <w:t>The Age of Spiritual Machines: When Computers Exceed Human Intelligence</w:t>
      </w:r>
      <w:r>
        <w:rPr>
          <w:color w:val="2B3545"/>
          <w:szCs w:val="24"/>
          <w:highlight w:val="white"/>
        </w:rPr>
        <w:t>. New York: Penguin Books.</w:t>
      </w:r>
    </w:p>
    <w:p w14:paraId="000000E3" w14:textId="77777777" w:rsidR="00260E18" w:rsidRDefault="00260E18">
      <w:pPr>
        <w:rPr>
          <w:color w:val="2B3545"/>
          <w:szCs w:val="24"/>
          <w:highlight w:val="white"/>
        </w:rPr>
      </w:pPr>
    </w:p>
    <w:p w14:paraId="000000E4" w14:textId="77777777" w:rsidR="00260E18" w:rsidRDefault="00000000">
      <w:pPr>
        <w:rPr>
          <w:color w:val="2B3545"/>
          <w:szCs w:val="24"/>
          <w:highlight w:val="white"/>
        </w:rPr>
      </w:pPr>
      <w:r>
        <w:rPr>
          <w:color w:val="2B3545"/>
          <w:szCs w:val="24"/>
          <w:highlight w:val="white"/>
        </w:rPr>
        <w:t xml:space="preserve">Lerner, Abba P. 1943. “Functional Finance and the Federal Debt.” </w:t>
      </w:r>
      <w:r>
        <w:rPr>
          <w:i/>
          <w:color w:val="2B3545"/>
          <w:szCs w:val="24"/>
          <w:highlight w:val="white"/>
        </w:rPr>
        <w:t>Social Research</w:t>
      </w:r>
      <w:r>
        <w:rPr>
          <w:color w:val="2B3545"/>
          <w:szCs w:val="24"/>
          <w:highlight w:val="white"/>
        </w:rPr>
        <w:t>, Vol. 10, No. 1, pp. 38-51. February 1943. The Johns Hopkins University Press.</w:t>
      </w:r>
    </w:p>
    <w:p w14:paraId="000000E5" w14:textId="77777777" w:rsidR="00260E18" w:rsidRDefault="00260E18">
      <w:pPr>
        <w:rPr>
          <w:color w:val="2B3545"/>
          <w:szCs w:val="24"/>
          <w:highlight w:val="white"/>
        </w:rPr>
      </w:pPr>
    </w:p>
    <w:p w14:paraId="000000E6" w14:textId="77777777" w:rsidR="00260E18" w:rsidRDefault="00000000">
      <w:pPr>
        <w:rPr>
          <w:color w:val="2B3545"/>
          <w:szCs w:val="24"/>
          <w:highlight w:val="white"/>
        </w:rPr>
      </w:pPr>
      <w:r>
        <w:rPr>
          <w:color w:val="2B3545"/>
          <w:szCs w:val="24"/>
          <w:highlight w:val="white"/>
        </w:rPr>
        <w:t xml:space="preserve">Machlup, Fritz, and Vera C. Smith. 1940. </w:t>
      </w:r>
      <w:r>
        <w:rPr>
          <w:i/>
          <w:color w:val="2B3545"/>
          <w:szCs w:val="24"/>
          <w:highlight w:val="white"/>
        </w:rPr>
        <w:t>The Stock Market, Credit and Capital Formation</w:t>
      </w:r>
      <w:r>
        <w:rPr>
          <w:color w:val="2B3545"/>
          <w:szCs w:val="24"/>
          <w:highlight w:val="white"/>
        </w:rPr>
        <w:t>. London [etc.]: W. Hodge and company, limited.</w:t>
      </w:r>
    </w:p>
    <w:p w14:paraId="000000E7" w14:textId="77777777" w:rsidR="00260E18" w:rsidRDefault="00260E18">
      <w:pPr>
        <w:rPr>
          <w:color w:val="2B3545"/>
          <w:szCs w:val="24"/>
          <w:highlight w:val="white"/>
        </w:rPr>
      </w:pPr>
    </w:p>
    <w:p w14:paraId="000000E8" w14:textId="77777777" w:rsidR="00260E18" w:rsidRDefault="00000000">
      <w:pPr>
        <w:rPr>
          <w:color w:val="2B3545"/>
          <w:szCs w:val="24"/>
          <w:highlight w:val="white"/>
        </w:rPr>
      </w:pPr>
      <w:r>
        <w:rPr>
          <w:color w:val="2B3545"/>
          <w:szCs w:val="24"/>
          <w:highlight w:val="white"/>
        </w:rPr>
        <w:t xml:space="preserve">Marx, Karl. 1977. </w:t>
      </w:r>
      <w:r>
        <w:rPr>
          <w:i/>
          <w:color w:val="2B3545"/>
          <w:szCs w:val="24"/>
          <w:highlight w:val="white"/>
        </w:rPr>
        <w:t>Capital: Volume One</w:t>
      </w:r>
      <w:r>
        <w:rPr>
          <w:color w:val="2B3545"/>
          <w:szCs w:val="24"/>
          <w:highlight w:val="white"/>
        </w:rPr>
        <w:t>. Translator: Ben Fowkes. New York: Vintage Books.</w:t>
      </w:r>
    </w:p>
    <w:p w14:paraId="000000E9" w14:textId="77777777" w:rsidR="00260E18" w:rsidRDefault="00260E18">
      <w:pPr>
        <w:rPr>
          <w:color w:val="2B3545"/>
          <w:szCs w:val="24"/>
          <w:highlight w:val="white"/>
        </w:rPr>
      </w:pPr>
    </w:p>
    <w:p w14:paraId="000000EA" w14:textId="77777777" w:rsidR="00260E18" w:rsidRDefault="00000000">
      <w:pPr>
        <w:rPr>
          <w:color w:val="2B3545"/>
          <w:szCs w:val="24"/>
          <w:highlight w:val="white"/>
        </w:rPr>
      </w:pPr>
      <w:r>
        <w:rPr>
          <w:color w:val="2B3545"/>
          <w:szCs w:val="24"/>
          <w:highlight w:val="white"/>
        </w:rPr>
        <w:t xml:space="preserve">Michell, Jo. 2019. “Kelton and Krugman on IS-LM and MMT.” Critical Macro Finance blog post, March 6, 2019, available at: </w:t>
      </w:r>
      <w:hyperlink r:id="rId16">
        <w:r>
          <w:rPr>
            <w:color w:val="1155CC"/>
            <w:szCs w:val="24"/>
            <w:highlight w:val="white"/>
            <w:u w:val="single"/>
          </w:rPr>
          <w:t>https://criticalfinance.org/2019/03/06/kelton-and-krugman-on-is-lm-and-mmt/</w:t>
        </w:r>
      </w:hyperlink>
      <w:r>
        <w:rPr>
          <w:color w:val="2B3545"/>
          <w:szCs w:val="24"/>
          <w:highlight w:val="white"/>
        </w:rPr>
        <w:t xml:space="preserve">. </w:t>
      </w:r>
    </w:p>
    <w:p w14:paraId="000000EB" w14:textId="77777777" w:rsidR="00260E18" w:rsidRDefault="00260E18">
      <w:pPr>
        <w:rPr>
          <w:color w:val="2B3545"/>
          <w:szCs w:val="24"/>
          <w:highlight w:val="white"/>
        </w:rPr>
      </w:pPr>
    </w:p>
    <w:p w14:paraId="000000EC" w14:textId="77777777" w:rsidR="00260E18" w:rsidRDefault="00000000">
      <w:pPr>
        <w:rPr>
          <w:color w:val="2B3545"/>
          <w:szCs w:val="24"/>
          <w:highlight w:val="white"/>
        </w:rPr>
      </w:pPr>
      <w:r>
        <w:rPr>
          <w:color w:val="2B3545"/>
          <w:szCs w:val="24"/>
          <w:highlight w:val="white"/>
        </w:rPr>
        <w:t xml:space="preserve">Mitchell, William. 2010. “Deficits are here to stay—get used to it.” Blog post, April 14. </w:t>
      </w:r>
      <w:hyperlink r:id="rId17">
        <w:r>
          <w:rPr>
            <w:color w:val="1155CC"/>
            <w:szCs w:val="24"/>
            <w:highlight w:val="white"/>
            <w:u w:val="single"/>
          </w:rPr>
          <w:t>https://billmitchell.org/blog/?p=9198</w:t>
        </w:r>
      </w:hyperlink>
      <w:r>
        <w:rPr>
          <w:color w:val="2B3545"/>
          <w:szCs w:val="24"/>
          <w:highlight w:val="white"/>
        </w:rPr>
        <w:t xml:space="preserve"> </w:t>
      </w:r>
    </w:p>
    <w:p w14:paraId="000000ED" w14:textId="77777777" w:rsidR="00260E18" w:rsidRDefault="00260E18">
      <w:pPr>
        <w:rPr>
          <w:color w:val="2B3545"/>
          <w:szCs w:val="24"/>
          <w:highlight w:val="white"/>
        </w:rPr>
      </w:pPr>
    </w:p>
    <w:p w14:paraId="000000EE" w14:textId="77777777" w:rsidR="00260E18" w:rsidRDefault="00000000">
      <w:pPr>
        <w:rPr>
          <w:color w:val="2B3545"/>
          <w:szCs w:val="24"/>
          <w:highlight w:val="white"/>
        </w:rPr>
      </w:pPr>
      <w:r>
        <w:rPr>
          <w:color w:val="2B3545"/>
          <w:szCs w:val="24"/>
          <w:highlight w:val="white"/>
        </w:rPr>
        <w:t xml:space="preserve">Mosler, Warren. 2010. </w:t>
      </w:r>
      <w:r>
        <w:rPr>
          <w:i/>
          <w:color w:val="2B3545"/>
          <w:szCs w:val="24"/>
          <w:highlight w:val="white"/>
        </w:rPr>
        <w:t>The Seven Deadly Innocent Frauds</w:t>
      </w:r>
      <w:r>
        <w:rPr>
          <w:color w:val="2B3545"/>
          <w:szCs w:val="24"/>
          <w:highlight w:val="white"/>
        </w:rPr>
        <w:t xml:space="preserve"> </w:t>
      </w:r>
      <w:r>
        <w:rPr>
          <w:i/>
          <w:color w:val="2B3545"/>
          <w:szCs w:val="24"/>
          <w:highlight w:val="white"/>
        </w:rPr>
        <w:t xml:space="preserve">of Economic Policy. </w:t>
      </w:r>
      <w:r>
        <w:rPr>
          <w:color w:val="2B3545"/>
          <w:szCs w:val="24"/>
          <w:highlight w:val="white"/>
        </w:rPr>
        <w:t xml:space="preserve">USA: Valance Co., Inc. Available at: </w:t>
      </w:r>
      <w:hyperlink r:id="rId18">
        <w:r>
          <w:rPr>
            <w:color w:val="1155CC"/>
            <w:szCs w:val="24"/>
            <w:highlight w:val="white"/>
            <w:u w:val="single"/>
          </w:rPr>
          <w:t>https://moslereconomics.com/wp-content/uploads/2020/11/Seven-Deadly-Innocent-Frauds-of-Warren-Mosler.pdf</w:t>
        </w:r>
      </w:hyperlink>
      <w:r>
        <w:rPr>
          <w:color w:val="2B3545"/>
          <w:szCs w:val="24"/>
          <w:highlight w:val="white"/>
        </w:rPr>
        <w:t xml:space="preserve"> </w:t>
      </w:r>
    </w:p>
    <w:p w14:paraId="000000EF" w14:textId="77777777" w:rsidR="00260E18" w:rsidRDefault="00260E18">
      <w:pPr>
        <w:rPr>
          <w:color w:val="2B3545"/>
          <w:szCs w:val="24"/>
          <w:highlight w:val="white"/>
        </w:rPr>
      </w:pPr>
    </w:p>
    <w:p w14:paraId="000000F0" w14:textId="77777777" w:rsidR="00260E18" w:rsidRDefault="00000000">
      <w:pPr>
        <w:rPr>
          <w:color w:val="2B3545"/>
          <w:szCs w:val="24"/>
          <w:highlight w:val="white"/>
        </w:rPr>
      </w:pPr>
      <w:r>
        <w:rPr>
          <w:color w:val="2B3545"/>
          <w:szCs w:val="24"/>
          <w:highlight w:val="white"/>
        </w:rPr>
        <w:t xml:space="preserve">Murphy, Robert P. 2020. “Book Review: The Deficit Myth: Modern Monetary Theory and the Birth of the People’s Economy.” </w:t>
      </w:r>
      <w:r>
        <w:rPr>
          <w:i/>
          <w:color w:val="2B3545"/>
          <w:szCs w:val="24"/>
          <w:highlight w:val="white"/>
        </w:rPr>
        <w:t>Quarterly Journal of Austrian Economics</w:t>
      </w:r>
      <w:r>
        <w:rPr>
          <w:color w:val="2B3545"/>
          <w:szCs w:val="24"/>
          <w:highlight w:val="white"/>
        </w:rPr>
        <w:t xml:space="preserve">, Vol. 23, No. 2, pp. 232-251, Summer 2020. Available at: </w:t>
      </w:r>
      <w:hyperlink r:id="rId19">
        <w:r>
          <w:rPr>
            <w:color w:val="1155CC"/>
            <w:u w:val="single"/>
          </w:rPr>
          <w:t>https://qjae.mises.org/article/17385-book-review-the-deficit-myth-modern-monetary-theory-and-the-birth-of-the-people-s-economy</w:t>
        </w:r>
      </w:hyperlink>
      <w:r>
        <w:rPr>
          <w:color w:val="2B3545"/>
          <w:szCs w:val="24"/>
          <w:highlight w:val="white"/>
        </w:rPr>
        <w:t xml:space="preserve">  </w:t>
      </w:r>
    </w:p>
    <w:p w14:paraId="000000F1" w14:textId="77777777" w:rsidR="00260E18" w:rsidRDefault="00260E18">
      <w:pPr>
        <w:rPr>
          <w:color w:val="2B3545"/>
          <w:szCs w:val="24"/>
          <w:highlight w:val="white"/>
        </w:rPr>
      </w:pPr>
    </w:p>
    <w:p w14:paraId="000000F2" w14:textId="77777777" w:rsidR="00260E18" w:rsidRDefault="00000000">
      <w:pPr>
        <w:rPr>
          <w:color w:val="2B3545"/>
          <w:szCs w:val="24"/>
          <w:highlight w:val="white"/>
        </w:rPr>
      </w:pPr>
      <w:r>
        <w:rPr>
          <w:color w:val="2B3545"/>
          <w:szCs w:val="24"/>
          <w:highlight w:val="white"/>
        </w:rPr>
        <w:t xml:space="preserve">Poitras, Maren. 2024. </w:t>
      </w:r>
      <w:r>
        <w:rPr>
          <w:i/>
          <w:color w:val="2B3545"/>
          <w:szCs w:val="24"/>
          <w:highlight w:val="white"/>
        </w:rPr>
        <w:t xml:space="preserve">Finding the Money. </w:t>
      </w:r>
      <w:r>
        <w:rPr>
          <w:color w:val="2B3545"/>
          <w:szCs w:val="24"/>
          <w:highlight w:val="white"/>
        </w:rPr>
        <w:t xml:space="preserve">USA: Hand Hewn Productions. Website: </w:t>
      </w:r>
      <w:hyperlink r:id="rId20">
        <w:r>
          <w:rPr>
            <w:color w:val="1155CC"/>
            <w:szCs w:val="24"/>
            <w:highlight w:val="white"/>
            <w:u w:val="single"/>
          </w:rPr>
          <w:t>https://findingmoneyfilm.com/</w:t>
        </w:r>
      </w:hyperlink>
      <w:r>
        <w:rPr>
          <w:color w:val="2B3545"/>
          <w:szCs w:val="24"/>
          <w:highlight w:val="white"/>
        </w:rPr>
        <w:t xml:space="preserve"> </w:t>
      </w:r>
    </w:p>
    <w:p w14:paraId="000000F3" w14:textId="77777777" w:rsidR="00260E18" w:rsidRDefault="00260E18">
      <w:pPr>
        <w:rPr>
          <w:color w:val="2B3545"/>
          <w:szCs w:val="24"/>
          <w:highlight w:val="white"/>
        </w:rPr>
      </w:pPr>
    </w:p>
    <w:p w14:paraId="000000F4" w14:textId="77777777" w:rsidR="00260E18" w:rsidRDefault="00000000">
      <w:pPr>
        <w:rPr>
          <w:color w:val="2B3545"/>
          <w:szCs w:val="24"/>
          <w:highlight w:val="white"/>
        </w:rPr>
      </w:pPr>
      <w:r>
        <w:rPr>
          <w:color w:val="2B3545"/>
          <w:szCs w:val="24"/>
          <w:highlight w:val="white"/>
        </w:rPr>
        <w:t xml:space="preserve">Rothbard, Murray. 1962. </w:t>
      </w:r>
      <w:r>
        <w:rPr>
          <w:i/>
          <w:color w:val="2B3545"/>
          <w:szCs w:val="24"/>
          <w:highlight w:val="white"/>
        </w:rPr>
        <w:t>Man, Economy, and State: A Treatise on Economics</w:t>
      </w:r>
      <w:r>
        <w:rPr>
          <w:color w:val="2B3545"/>
          <w:szCs w:val="24"/>
          <w:highlight w:val="white"/>
        </w:rPr>
        <w:t>. Princeton, NJ: D. Van Nostrand.</w:t>
      </w:r>
    </w:p>
    <w:p w14:paraId="000000F5" w14:textId="77777777" w:rsidR="00260E18" w:rsidRDefault="00260E18">
      <w:pPr>
        <w:rPr>
          <w:color w:val="2B3545"/>
          <w:szCs w:val="24"/>
          <w:highlight w:val="white"/>
        </w:rPr>
      </w:pPr>
    </w:p>
    <w:p w14:paraId="000000F6" w14:textId="77777777" w:rsidR="00260E18" w:rsidRDefault="00000000">
      <w:pPr>
        <w:rPr>
          <w:color w:val="2B3545"/>
          <w:szCs w:val="24"/>
          <w:highlight w:val="white"/>
        </w:rPr>
      </w:pPr>
      <w:r>
        <w:rPr>
          <w:color w:val="2B3545"/>
          <w:szCs w:val="24"/>
          <w:highlight w:val="white"/>
        </w:rPr>
        <w:t xml:space="preserve">Sowell, Thomas. 1972. </w:t>
      </w:r>
      <w:r>
        <w:rPr>
          <w:i/>
          <w:color w:val="2B3545"/>
          <w:szCs w:val="24"/>
          <w:highlight w:val="white"/>
        </w:rPr>
        <w:t>Say's Law: An Historical Analysis</w:t>
      </w:r>
      <w:r>
        <w:rPr>
          <w:color w:val="2B3545"/>
          <w:szCs w:val="24"/>
          <w:highlight w:val="white"/>
        </w:rPr>
        <w:t>. Princeton, New Jersey: Princeton University Press.</w:t>
      </w:r>
    </w:p>
    <w:p w14:paraId="000000F7" w14:textId="77777777" w:rsidR="00260E18" w:rsidRDefault="00260E18">
      <w:pPr>
        <w:rPr>
          <w:color w:val="2B3545"/>
          <w:szCs w:val="24"/>
          <w:highlight w:val="white"/>
        </w:rPr>
      </w:pPr>
    </w:p>
    <w:p w14:paraId="000000F8" w14:textId="77777777" w:rsidR="00260E18" w:rsidRDefault="00000000">
      <w:pPr>
        <w:rPr>
          <w:color w:val="2B3545"/>
          <w:szCs w:val="24"/>
          <w:highlight w:val="white"/>
        </w:rPr>
      </w:pPr>
      <w:proofErr w:type="spellStart"/>
      <w:r>
        <w:rPr>
          <w:color w:val="2B3545"/>
          <w:szCs w:val="24"/>
          <w:highlight w:val="white"/>
        </w:rPr>
        <w:t>Tankus</w:t>
      </w:r>
      <w:proofErr w:type="spellEnd"/>
      <w:r>
        <w:rPr>
          <w:color w:val="2B3545"/>
          <w:szCs w:val="24"/>
          <w:highlight w:val="white"/>
        </w:rPr>
        <w:t xml:space="preserve">, Nathan. 2025. Appearance on </w:t>
      </w:r>
      <w:proofErr w:type="spellStart"/>
      <w:r>
        <w:rPr>
          <w:color w:val="2B3545"/>
          <w:szCs w:val="24"/>
          <w:highlight w:val="white"/>
        </w:rPr>
        <w:t>ZeroHedge</w:t>
      </w:r>
      <w:proofErr w:type="spellEnd"/>
      <w:r>
        <w:rPr>
          <w:color w:val="2B3545"/>
          <w:szCs w:val="24"/>
          <w:highlight w:val="white"/>
        </w:rPr>
        <w:t xml:space="preserve"> debate, “Austrian Economics vs. MMT,” with Robert P. Murphy and moderated by Jack Farley. January 16. Available at: </w:t>
      </w:r>
      <w:hyperlink r:id="rId21">
        <w:r>
          <w:rPr>
            <w:color w:val="1155CC"/>
            <w:szCs w:val="24"/>
            <w:highlight w:val="white"/>
            <w:u w:val="single"/>
          </w:rPr>
          <w:t>https://www.youtube.com/watch?v=kHoPf3OZzQY</w:t>
        </w:r>
      </w:hyperlink>
      <w:r>
        <w:rPr>
          <w:color w:val="2B3545"/>
          <w:szCs w:val="24"/>
          <w:highlight w:val="white"/>
        </w:rPr>
        <w:t xml:space="preserve">  </w:t>
      </w:r>
    </w:p>
    <w:p w14:paraId="000000F9" w14:textId="77777777" w:rsidR="00260E18" w:rsidRDefault="00260E18">
      <w:pPr>
        <w:rPr>
          <w:color w:val="2B3545"/>
          <w:szCs w:val="24"/>
          <w:highlight w:val="white"/>
        </w:rPr>
      </w:pPr>
    </w:p>
    <w:p w14:paraId="000000FA" w14:textId="77777777" w:rsidR="00260E18" w:rsidRDefault="00000000">
      <w:pPr>
        <w:rPr>
          <w:color w:val="2B3545"/>
          <w:szCs w:val="24"/>
          <w:highlight w:val="white"/>
        </w:rPr>
      </w:pPr>
      <w:proofErr w:type="spellStart"/>
      <w:r>
        <w:rPr>
          <w:color w:val="2B3545"/>
          <w:szCs w:val="24"/>
          <w:highlight w:val="white"/>
        </w:rPr>
        <w:lastRenderedPageBreak/>
        <w:t>Tymoigne</w:t>
      </w:r>
      <w:proofErr w:type="spellEnd"/>
      <w:r>
        <w:rPr>
          <w:color w:val="2B3545"/>
          <w:szCs w:val="24"/>
          <w:highlight w:val="white"/>
        </w:rPr>
        <w:t xml:space="preserve">, Eric. 2021. “Seven Replies to the Critiques of Modern Monetary Theory.” Levy Economics Institute Working Paper No. 996. December. </w:t>
      </w:r>
      <w:hyperlink r:id="rId22">
        <w:r>
          <w:rPr>
            <w:color w:val="1155CC"/>
            <w:szCs w:val="24"/>
            <w:highlight w:val="white"/>
            <w:u w:val="single"/>
          </w:rPr>
          <w:t>https://papers.ssrn.com/sol3/papers.cfm?abstract_id=3984305</w:t>
        </w:r>
      </w:hyperlink>
      <w:r>
        <w:rPr>
          <w:color w:val="2B3545"/>
          <w:szCs w:val="24"/>
          <w:highlight w:val="white"/>
        </w:rPr>
        <w:t xml:space="preserve">  </w:t>
      </w:r>
    </w:p>
    <w:p w14:paraId="000000FB" w14:textId="77777777" w:rsidR="00260E18" w:rsidRDefault="00260E18">
      <w:pPr>
        <w:rPr>
          <w:color w:val="2B3545"/>
          <w:szCs w:val="24"/>
          <w:highlight w:val="white"/>
        </w:rPr>
      </w:pPr>
    </w:p>
    <w:p w14:paraId="000000FC" w14:textId="77777777" w:rsidR="00260E18" w:rsidRDefault="00000000">
      <w:pPr>
        <w:rPr>
          <w:color w:val="2B3545"/>
          <w:szCs w:val="24"/>
          <w:highlight w:val="white"/>
        </w:rPr>
      </w:pPr>
      <w:r>
        <w:rPr>
          <w:color w:val="2B3545"/>
          <w:szCs w:val="24"/>
          <w:highlight w:val="white"/>
        </w:rPr>
        <w:t xml:space="preserve">Voegelin, Eric. 1990a. </w:t>
      </w:r>
      <w:r>
        <w:rPr>
          <w:szCs w:val="24"/>
        </w:rPr>
        <w:t xml:space="preserve">"Hegel: A Study in Sorcery," in </w:t>
      </w:r>
      <w:r>
        <w:rPr>
          <w:color w:val="2B3545"/>
          <w:szCs w:val="24"/>
          <w:highlight w:val="white"/>
        </w:rPr>
        <w:t xml:space="preserve">Voegelin, Eric, and Ellis Sandoz. </w:t>
      </w:r>
      <w:r>
        <w:rPr>
          <w:i/>
          <w:color w:val="2B3545"/>
          <w:szCs w:val="24"/>
          <w:highlight w:val="white"/>
        </w:rPr>
        <w:t>Published Essays, 1966-1985</w:t>
      </w:r>
      <w:r>
        <w:rPr>
          <w:color w:val="2B3545"/>
          <w:szCs w:val="24"/>
          <w:highlight w:val="white"/>
        </w:rPr>
        <w:t>. Baton Rouge: Louisiana State University Press.</w:t>
      </w:r>
    </w:p>
    <w:p w14:paraId="000000FD" w14:textId="77777777" w:rsidR="00260E18" w:rsidRDefault="00260E18">
      <w:pPr>
        <w:rPr>
          <w:color w:val="2B3545"/>
          <w:szCs w:val="24"/>
          <w:highlight w:val="white"/>
        </w:rPr>
      </w:pPr>
    </w:p>
    <w:p w14:paraId="000000FE" w14:textId="77777777" w:rsidR="00260E18" w:rsidRDefault="00000000">
      <w:pPr>
        <w:rPr>
          <w:color w:val="2B3545"/>
          <w:szCs w:val="24"/>
          <w:highlight w:val="white"/>
        </w:rPr>
      </w:pPr>
      <w:r>
        <w:rPr>
          <w:color w:val="2B3545"/>
          <w:szCs w:val="24"/>
          <w:highlight w:val="white"/>
        </w:rPr>
        <w:t xml:space="preserve">Voegelin, Eric. 1990b. </w:t>
      </w:r>
      <w:r>
        <w:rPr>
          <w:szCs w:val="24"/>
        </w:rPr>
        <w:t xml:space="preserve">"Response to Professor Altizer," in </w:t>
      </w:r>
      <w:r>
        <w:rPr>
          <w:color w:val="2B3545"/>
          <w:szCs w:val="24"/>
          <w:highlight w:val="white"/>
        </w:rPr>
        <w:t xml:space="preserve">Voegelin, Eric, and Ellis Sandoz. </w:t>
      </w:r>
      <w:r>
        <w:rPr>
          <w:i/>
          <w:color w:val="2B3545"/>
          <w:szCs w:val="24"/>
          <w:highlight w:val="white"/>
        </w:rPr>
        <w:t>Published Essays, 1966-1985</w:t>
      </w:r>
      <w:r>
        <w:rPr>
          <w:color w:val="2B3545"/>
          <w:szCs w:val="24"/>
          <w:highlight w:val="white"/>
        </w:rPr>
        <w:t>. Baton Rouge: Louisiana State University Press.</w:t>
      </w:r>
    </w:p>
    <w:p w14:paraId="000000FF" w14:textId="77777777" w:rsidR="00260E18" w:rsidRDefault="00260E18">
      <w:pPr>
        <w:rPr>
          <w:color w:val="2B3545"/>
          <w:szCs w:val="24"/>
          <w:highlight w:val="white"/>
        </w:rPr>
      </w:pPr>
    </w:p>
    <w:p w14:paraId="00000100" w14:textId="77777777" w:rsidR="00260E18" w:rsidRDefault="00000000">
      <w:pPr>
        <w:rPr>
          <w:color w:val="2B3545"/>
          <w:szCs w:val="24"/>
          <w:highlight w:val="white"/>
        </w:rPr>
      </w:pPr>
      <w:r>
        <w:rPr>
          <w:color w:val="2B3545"/>
          <w:szCs w:val="24"/>
          <w:highlight w:val="white"/>
        </w:rPr>
        <w:t xml:space="preserve">Yeager, Leland B., and George A. </w:t>
      </w:r>
      <w:proofErr w:type="spellStart"/>
      <w:r>
        <w:rPr>
          <w:color w:val="2B3545"/>
          <w:szCs w:val="24"/>
          <w:highlight w:val="white"/>
        </w:rPr>
        <w:t>Selgin</w:t>
      </w:r>
      <w:proofErr w:type="spellEnd"/>
      <w:r>
        <w:rPr>
          <w:color w:val="2B3545"/>
          <w:szCs w:val="24"/>
          <w:highlight w:val="white"/>
        </w:rPr>
        <w:t xml:space="preserve">. 1997. </w:t>
      </w:r>
      <w:r>
        <w:rPr>
          <w:i/>
          <w:color w:val="2B3545"/>
          <w:szCs w:val="24"/>
          <w:highlight w:val="white"/>
        </w:rPr>
        <w:t>The Fluttering Veil : Essays on Monetary Disequilibrium</w:t>
      </w:r>
      <w:r>
        <w:rPr>
          <w:color w:val="2B3545"/>
          <w:szCs w:val="24"/>
          <w:highlight w:val="white"/>
        </w:rPr>
        <w:t>. Indianapolis: Liberty Fund.</w:t>
      </w:r>
    </w:p>
    <w:p w14:paraId="00000101" w14:textId="77777777" w:rsidR="00260E18" w:rsidRDefault="00260E18">
      <w:pPr>
        <w:rPr>
          <w:szCs w:val="24"/>
        </w:rPr>
      </w:pPr>
    </w:p>
    <w:p w14:paraId="00000183" w14:textId="77777777" w:rsidR="00260E18" w:rsidRDefault="00260E18"/>
    <w:sectPr w:rsidR="00260E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426C" w14:textId="77777777" w:rsidR="005908DA" w:rsidRDefault="005908DA">
      <w:pPr>
        <w:spacing w:line="240" w:lineRule="auto"/>
      </w:pPr>
      <w:r>
        <w:separator/>
      </w:r>
    </w:p>
  </w:endnote>
  <w:endnote w:type="continuationSeparator" w:id="0">
    <w:p w14:paraId="15E2F264" w14:textId="77777777" w:rsidR="005908DA" w:rsidRDefault="005908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934B5FE-2B5C-9643-87BB-301FE61A48A8}"/>
    <w:embedBold r:id="rId2" w:fontKey="{36AD2C18-CC30-C948-8ABA-B8B66F3CE8D0}"/>
    <w:embedItalic r:id="rId3" w:fontKey="{CD2F0BCC-41B0-0847-86A5-77A5D165DD0F}"/>
  </w:font>
  <w:font w:name="Times New Roman">
    <w:panose1 w:val="02020603050405020304"/>
    <w:charset w:val="00"/>
    <w:family w:val="roman"/>
    <w:pitch w:val="variable"/>
    <w:sig w:usb0="E0002EFF" w:usb1="C000785B" w:usb2="00000009" w:usb3="00000000" w:csb0="000001FF" w:csb1="00000000"/>
    <w:embedRegular r:id="rId4" w:fontKey="{AE40BCB9-C444-3C45-800C-114F47957C0C}"/>
  </w:font>
  <w:font w:name="Roboto">
    <w:panose1 w:val="02000000000000000000"/>
    <w:charset w:val="00"/>
    <w:family w:val="auto"/>
    <w:pitch w:val="variable"/>
    <w:sig w:usb0="E0000AFF" w:usb1="5000217F" w:usb2="00000021" w:usb3="00000000" w:csb0="0000019F" w:csb1="00000000"/>
    <w:embedRegular r:id="rId5" w:fontKey="{8D2C94E9-87DF-D34F-B3FC-06A520DB33D8}"/>
  </w:font>
  <w:font w:name="Calibri">
    <w:panose1 w:val="020F0502020204030204"/>
    <w:charset w:val="00"/>
    <w:family w:val="swiss"/>
    <w:pitch w:val="variable"/>
    <w:sig w:usb0="E00002FF" w:usb1="4000ACFF" w:usb2="00000001" w:usb3="00000000" w:csb0="0000019F" w:csb1="00000000"/>
    <w:embedRegular r:id="rId6" w:fontKey="{DF97B1D4-9FA3-3D48-900D-74A6869F7028}"/>
  </w:font>
  <w:font w:name="Cambria">
    <w:panose1 w:val="02040503050406030204"/>
    <w:charset w:val="00"/>
    <w:family w:val="roman"/>
    <w:notTrueType/>
    <w:pitch w:val="default"/>
    <w:embedRegular r:id="rId7" w:fontKey="{CC8CAABF-84F8-1449-B9A7-540046BEA7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B244D" w14:textId="77777777" w:rsidR="005908DA" w:rsidRDefault="005908DA">
      <w:pPr>
        <w:spacing w:line="240" w:lineRule="auto"/>
      </w:pPr>
      <w:r>
        <w:separator/>
      </w:r>
    </w:p>
  </w:footnote>
  <w:footnote w:type="continuationSeparator" w:id="0">
    <w:p w14:paraId="4AB42CCC" w14:textId="77777777" w:rsidR="005908DA" w:rsidRDefault="005908DA">
      <w:pPr>
        <w:spacing w:line="240" w:lineRule="auto"/>
      </w:pPr>
      <w:r>
        <w:continuationSeparator/>
      </w:r>
    </w:p>
  </w:footnote>
  <w:footnote w:id="1">
    <w:p w14:paraId="00000186" w14:textId="77777777" w:rsidR="00260E18" w:rsidRDefault="00000000">
      <w:pPr>
        <w:spacing w:line="240" w:lineRule="auto"/>
        <w:rPr>
          <w:sz w:val="20"/>
          <w:szCs w:val="20"/>
        </w:rPr>
      </w:pPr>
      <w:r>
        <w:rPr>
          <w:vertAlign w:val="superscript"/>
        </w:rPr>
        <w:footnoteRef/>
      </w:r>
      <w:r>
        <w:rPr>
          <w:sz w:val="20"/>
          <w:szCs w:val="20"/>
        </w:rPr>
        <w:t xml:space="preserve"> Robert P. Murphy has a PhD in economics from New York University. He is the chief economist at </w:t>
      </w:r>
      <w:proofErr w:type="spellStart"/>
      <w:r>
        <w:rPr>
          <w:sz w:val="20"/>
          <w:szCs w:val="20"/>
        </w:rPr>
        <w:t>infineo</w:t>
      </w:r>
      <w:proofErr w:type="spellEnd"/>
      <w:r>
        <w:rPr>
          <w:sz w:val="20"/>
          <w:szCs w:val="20"/>
        </w:rPr>
        <w:t xml:space="preserve"> and Senior Fellow with the Mises Institute. He is the author of several books including </w:t>
      </w:r>
      <w:r>
        <w:rPr>
          <w:i/>
          <w:sz w:val="20"/>
          <w:szCs w:val="20"/>
        </w:rPr>
        <w:t>Choice</w:t>
      </w:r>
      <w:r>
        <w:rPr>
          <w:sz w:val="20"/>
          <w:szCs w:val="20"/>
        </w:rPr>
        <w:t xml:space="preserve"> and </w:t>
      </w:r>
      <w:r>
        <w:rPr>
          <w:i/>
          <w:sz w:val="20"/>
          <w:szCs w:val="20"/>
        </w:rPr>
        <w:t>Lessons for the Young Economis</w:t>
      </w:r>
      <w:r>
        <w:rPr>
          <w:sz w:val="20"/>
          <w:szCs w:val="20"/>
        </w:rPr>
        <w:t>t.</w:t>
      </w:r>
    </w:p>
  </w:footnote>
  <w:footnote w:id="2">
    <w:p w14:paraId="00000187" w14:textId="77777777" w:rsidR="00260E18" w:rsidRDefault="00000000">
      <w:pPr>
        <w:spacing w:line="240" w:lineRule="auto"/>
        <w:rPr>
          <w:sz w:val="20"/>
          <w:szCs w:val="20"/>
        </w:rPr>
      </w:pPr>
      <w:r>
        <w:rPr>
          <w:vertAlign w:val="superscript"/>
        </w:rPr>
        <w:footnoteRef/>
      </w:r>
      <w:r>
        <w:rPr>
          <w:sz w:val="20"/>
          <w:szCs w:val="20"/>
        </w:rPr>
        <w:t xml:space="preserve"> Gene Callahan has a PhD in political theory from Cardiff University. He is an honorary research fellow at the Cardiff University School of Law and Politics, an affiliate scholar in the University of South Carolina Department of Philosophy, and an adjunct professor in the Department of Computer Science at New York University. He is the author or editor of the books </w:t>
      </w:r>
      <w:r>
        <w:rPr>
          <w:i/>
          <w:sz w:val="20"/>
          <w:szCs w:val="20"/>
        </w:rPr>
        <w:t>Economics for Real People</w:t>
      </w:r>
      <w:r>
        <w:rPr>
          <w:sz w:val="20"/>
          <w:szCs w:val="20"/>
        </w:rPr>
        <w:t xml:space="preserve">, </w:t>
      </w:r>
      <w:r>
        <w:rPr>
          <w:i/>
          <w:sz w:val="20"/>
          <w:szCs w:val="20"/>
        </w:rPr>
        <w:t>Oakeshott on Rome and America</w:t>
      </w:r>
      <w:r>
        <w:rPr>
          <w:sz w:val="20"/>
          <w:szCs w:val="20"/>
        </w:rPr>
        <w:t xml:space="preserve">, </w:t>
      </w:r>
      <w:r>
        <w:rPr>
          <w:i/>
          <w:sz w:val="20"/>
          <w:szCs w:val="20"/>
        </w:rPr>
        <w:t>Tradition vs. Rationalism</w:t>
      </w:r>
      <w:r>
        <w:rPr>
          <w:sz w:val="20"/>
          <w:szCs w:val="20"/>
        </w:rPr>
        <w:t xml:space="preserve">, </w:t>
      </w:r>
      <w:r>
        <w:rPr>
          <w:i/>
          <w:sz w:val="20"/>
          <w:szCs w:val="20"/>
        </w:rPr>
        <w:t>Critics of Enlightenment Rationalism</w:t>
      </w:r>
      <w:r>
        <w:rPr>
          <w:sz w:val="20"/>
          <w:szCs w:val="20"/>
        </w:rPr>
        <w:t xml:space="preserve">, </w:t>
      </w:r>
      <w:r>
        <w:rPr>
          <w:i/>
          <w:sz w:val="20"/>
          <w:szCs w:val="20"/>
        </w:rPr>
        <w:t>Critics of Enlightenment Rationalism Revisited</w:t>
      </w:r>
      <w:r>
        <w:rPr>
          <w:sz w:val="20"/>
          <w:szCs w:val="20"/>
        </w:rPr>
        <w:t xml:space="preserve">, </w:t>
      </w:r>
      <w:r>
        <w:rPr>
          <w:i/>
          <w:sz w:val="20"/>
          <w:szCs w:val="20"/>
        </w:rPr>
        <w:t>The Concept of Work in the History of European Philosophy</w:t>
      </w:r>
      <w:r>
        <w:rPr>
          <w:sz w:val="20"/>
          <w:szCs w:val="20"/>
        </w:rPr>
        <w:t xml:space="preserve">, and </w:t>
      </w:r>
      <w:r>
        <w:rPr>
          <w:i/>
          <w:sz w:val="20"/>
          <w:szCs w:val="20"/>
        </w:rPr>
        <w:t>Oakeshott and Voegelin on the Nature of Political Philosophy</w:t>
      </w:r>
      <w:r>
        <w:rPr>
          <w:sz w:val="20"/>
          <w:szCs w:val="20"/>
        </w:rPr>
        <w:t xml:space="preserve"> (forthcoming).</w:t>
      </w:r>
    </w:p>
  </w:footnote>
  <w:footnote w:id="3">
    <w:p w14:paraId="00000184" w14:textId="77777777" w:rsidR="00260E18" w:rsidRDefault="00000000">
      <w:pPr>
        <w:spacing w:line="240" w:lineRule="auto"/>
        <w:rPr>
          <w:sz w:val="20"/>
          <w:szCs w:val="20"/>
        </w:rPr>
      </w:pPr>
      <w:r>
        <w:rPr>
          <w:vertAlign w:val="superscript"/>
        </w:rPr>
        <w:footnoteRef/>
      </w:r>
      <w:r>
        <w:rPr>
          <w:sz w:val="20"/>
          <w:szCs w:val="20"/>
        </w:rPr>
        <w:t xml:space="preserve"> See Keen, 2011, in which he notes that "alchemy wasn’t a niche to Newton at all. It was, in many ways, Newton’s life work—more vital to him than physics or mathematics ever was."</w:t>
      </w:r>
    </w:p>
  </w:footnote>
  <w:footnote w:id="4">
    <w:p w14:paraId="00000185" w14:textId="77777777" w:rsidR="00260E18" w:rsidRDefault="00000000">
      <w:pPr>
        <w:spacing w:line="240" w:lineRule="auto"/>
        <w:rPr>
          <w:sz w:val="20"/>
          <w:szCs w:val="20"/>
        </w:rPr>
      </w:pPr>
      <w:r>
        <w:rPr>
          <w:vertAlign w:val="superscript"/>
        </w:rPr>
        <w:footnoteRef/>
      </w:r>
      <w:r>
        <w:rPr>
          <w:sz w:val="20"/>
          <w:szCs w:val="20"/>
        </w:rPr>
        <w:t xml:space="preserve"> We might note similar attempts today to spiritually transform silicon, e.g. Kurzweil 1999.</w:t>
      </w:r>
    </w:p>
  </w:footnote>
  <w:footnote w:id="5">
    <w:p w14:paraId="00000188" w14:textId="77777777" w:rsidR="00260E18" w:rsidRDefault="00000000">
      <w:pPr>
        <w:spacing w:line="240" w:lineRule="auto"/>
        <w:rPr>
          <w:sz w:val="20"/>
          <w:szCs w:val="20"/>
        </w:rPr>
      </w:pPr>
      <w:r>
        <w:rPr>
          <w:vertAlign w:val="superscript"/>
        </w:rPr>
        <w:footnoteRef/>
      </w:r>
      <w:r>
        <w:rPr>
          <w:sz w:val="20"/>
          <w:szCs w:val="20"/>
        </w:rPr>
        <w:t xml:space="preserve"> </w:t>
      </w:r>
      <w:r>
        <w:rPr>
          <w:rFonts w:ascii="Roboto" w:eastAsia="Roboto" w:hAnsi="Roboto" w:cs="Roboto"/>
          <w:color w:val="444746"/>
        </w:rPr>
        <w:t xml:space="preserve">The </w:t>
      </w:r>
      <w:proofErr w:type="spellStart"/>
      <w:r>
        <w:rPr>
          <w:rFonts w:ascii="Roboto" w:eastAsia="Roboto" w:hAnsi="Roboto" w:cs="Roboto"/>
          <w:color w:val="444746"/>
        </w:rPr>
        <w:t>MMTers</w:t>
      </w:r>
      <w:proofErr w:type="spellEnd"/>
      <w:r>
        <w:rPr>
          <w:rFonts w:ascii="Roboto" w:eastAsia="Roboto" w:hAnsi="Roboto" w:cs="Roboto"/>
          <w:color w:val="444746"/>
        </w:rPr>
        <w:t xml:space="preserve"> rely on an accounting framework in which all private financial assets sum to zero; a household's stocks and bonds are positive financial assets, that are perfectly counterbalanced by the issuing firms' liabilities. The only way the private sector as a whole can hold financial claims on net, is if the party that issued the claims lies outside the private sector--i.e., the government. But the lack of a deficit-spending government certainly doesn't hold Robinson Crusoe back from saving and accumulating capital goods on his tropical island, and a bustling nation can enjoy large-scale net investment in real capital even if the government has no debt.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E18"/>
    <w:rsid w:val="00260E18"/>
    <w:rsid w:val="00384B0D"/>
    <w:rsid w:val="0045200F"/>
    <w:rsid w:val="005908DA"/>
    <w:rsid w:val="00C73B3B"/>
    <w:rsid w:val="00CD6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29F1E"/>
  <w15:docId w15:val="{29D1B17D-E37E-154E-A7F6-F0DB7152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B3B"/>
    <w:rPr>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Blockquote">
    <w:name w:val="Blockquote"/>
    <w:basedOn w:val="Normal"/>
    <w:qFormat/>
    <w:rsid w:val="00C73B3B"/>
    <w:pPr>
      <w:spacing w:before="120" w:after="120"/>
      <w:ind w:left="720" w:right="720"/>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usaalgharbi@gmail.com" TargetMode="External"/><Relationship Id="rId13" Type="http://schemas.openxmlformats.org/officeDocument/2006/relationships/hyperlink" Target="https://www.youtube.com/watch?v=FATQ0Yf0Fhc" TargetMode="External"/><Relationship Id="rId18" Type="http://schemas.openxmlformats.org/officeDocument/2006/relationships/hyperlink" Target="https://moslereconomics.com/wp-content/uploads/2020/11/Seven-Deadly-Innocent-Frauds-of-Warren-Mosler.pdf" TargetMode="External"/><Relationship Id="rId3" Type="http://schemas.openxmlformats.org/officeDocument/2006/relationships/webSettings" Target="webSettings.xml"/><Relationship Id="rId21" Type="http://schemas.openxmlformats.org/officeDocument/2006/relationships/hyperlink" Target="https://www.youtube.com/watch?v=kHoPf3OZzQY" TargetMode="External"/><Relationship Id="rId7" Type="http://schemas.openxmlformats.org/officeDocument/2006/relationships/hyperlink" Target="https://www.jstor.org/stable/40981939" TargetMode="External"/><Relationship Id="rId12" Type="http://schemas.openxmlformats.org/officeDocument/2006/relationships/hyperlink" Target="https://www.neh.gov/humanities/2011/januaryfebruary/feature/newton-the-last-magician" TargetMode="External"/><Relationship Id="rId17" Type="http://schemas.openxmlformats.org/officeDocument/2006/relationships/hyperlink" Target="https://billmitchell.org/blog/?p=9198" TargetMode="External"/><Relationship Id="rId2" Type="http://schemas.openxmlformats.org/officeDocument/2006/relationships/settings" Target="settings.xml"/><Relationship Id="rId16" Type="http://schemas.openxmlformats.org/officeDocument/2006/relationships/hyperlink" Target="https://criticalfinance.org/2019/03/06/kelton-and-krugman-on-is-lm-and-mmt/" TargetMode="External"/><Relationship Id="rId20" Type="http://schemas.openxmlformats.org/officeDocument/2006/relationships/hyperlink" Target="https://findingmoneyfilm.com/" TargetMode="External"/><Relationship Id="rId1" Type="http://schemas.openxmlformats.org/officeDocument/2006/relationships/styles" Target="styles.xml"/><Relationship Id="rId6" Type="http://schemas.openxmlformats.org/officeDocument/2006/relationships/hyperlink" Target="mailto:gcallah@mac.com" TargetMode="External"/><Relationship Id="rId11" Type="http://schemas.openxmlformats.org/officeDocument/2006/relationships/hyperlink" Target="https://humanparts.medium.com/the-rise-and-fall-of-mentally-retarded-e3b9eea23018"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www.nytimes.com/2019/02/25/opinion/running-on-mmt-wonkish.html" TargetMode="External"/><Relationship Id="rId23" Type="http://schemas.openxmlformats.org/officeDocument/2006/relationships/fontTable" Target="fontTable.xml"/><Relationship Id="rId10" Type="http://schemas.openxmlformats.org/officeDocument/2006/relationships/hyperlink" Target="https://www.youtube.com/watch?v=lncLOEqc9Rw" TargetMode="External"/><Relationship Id="rId19" Type="http://schemas.openxmlformats.org/officeDocument/2006/relationships/hyperlink" Target="https://qjae.mises.org/article/17385-book-review-the-deficit-myth-modern-monetary-theory-and-the-birth-of-the-people-s-economy" TargetMode="External"/><Relationship Id="rId4" Type="http://schemas.openxmlformats.org/officeDocument/2006/relationships/footnotes" Target="footnotes.xml"/><Relationship Id="rId9" Type="http://schemas.openxmlformats.org/officeDocument/2006/relationships/hyperlink" Target="https://mises.org/es/node/70248" TargetMode="External"/><Relationship Id="rId14" Type="http://schemas.openxmlformats.org/officeDocument/2006/relationships/hyperlink" Target="https://x.com/StephanieKelton/status/1668394888658911232" TargetMode="External"/><Relationship Id="rId22" Type="http://schemas.openxmlformats.org/officeDocument/2006/relationships/hyperlink" Target="https://papers.ssrn.com/sol3/papers.cfm?abstract_id=398430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6495</Words>
  <Characters>37022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Gene Callahan</cp:lastModifiedBy>
  <cp:revision>3</cp:revision>
  <dcterms:created xsi:type="dcterms:W3CDTF">2025-10-21T05:12:00Z</dcterms:created>
  <dcterms:modified xsi:type="dcterms:W3CDTF">2025-10-21T05:25:00Z</dcterms:modified>
</cp:coreProperties>
</file>