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1F5939" w14:textId="77777777" w:rsidR="002D3510" w:rsidRDefault="002D3510" w:rsidP="00B3640D">
      <w:pPr>
        <w:pStyle w:val="Heading1"/>
      </w:pPr>
      <w:r>
        <w:t xml:space="preserve">A Razian Audit of State Authority: </w:t>
      </w:r>
      <w:r w:rsidR="00B3640D">
        <w:br/>
      </w:r>
      <w:r>
        <w:t>Political Obligation, Legal Directives, and the Limits of Legitimate Power</w:t>
      </w:r>
    </w:p>
    <w:p w14:paraId="6DAEAEFB" w14:textId="77777777" w:rsidR="002D3510" w:rsidRDefault="002D3510" w:rsidP="002D3510"/>
    <w:p w14:paraId="617BB3C4" w14:textId="77777777" w:rsidR="002D3510" w:rsidRPr="00B3640D" w:rsidRDefault="002D3510" w:rsidP="002D3510">
      <w:pPr>
        <w:pStyle w:val="Author"/>
        <w:rPr>
          <w:sz w:val="24"/>
        </w:rPr>
      </w:pPr>
      <w:r w:rsidRPr="00B3640D">
        <w:rPr>
          <w:sz w:val="24"/>
        </w:rPr>
        <w:t>Karim Dharamsi</w:t>
      </w:r>
      <w:r w:rsidRPr="00B3640D">
        <w:rPr>
          <w:sz w:val="24"/>
        </w:rPr>
        <w:br/>
        <w:t>Mount Royal University</w:t>
      </w:r>
    </w:p>
    <w:p w14:paraId="61AC4549" w14:textId="77777777" w:rsidR="002D3510" w:rsidRDefault="002D3510" w:rsidP="002D3510"/>
    <w:p w14:paraId="28EAEE9E" w14:textId="77777777" w:rsidR="002D3510" w:rsidRPr="00C56C82" w:rsidRDefault="002D3510" w:rsidP="002D3510">
      <w:pPr>
        <w:pStyle w:val="Heading2"/>
      </w:pPr>
      <w:r w:rsidRPr="00C56C82">
        <w:t>1. Introduction</w:t>
      </w:r>
    </w:p>
    <w:p w14:paraId="57D0E8DB" w14:textId="77777777" w:rsidR="002D3510" w:rsidRDefault="002D3510" w:rsidP="002D3510"/>
    <w:p w14:paraId="04820203" w14:textId="77777777" w:rsidR="002D3510" w:rsidRDefault="002D3510" w:rsidP="002D3510">
      <w:pPr>
        <w:ind w:firstLine="720"/>
      </w:pPr>
      <w:r w:rsidRPr="00FA04D5">
        <w:t xml:space="preserve">Social contract and fair-play theories admit a comprehensive account of state authority. The first assumes consent as the grounds for obligation while the latter appeals to reciprocal benefit. Both </w:t>
      </w:r>
      <w:r w:rsidR="00BF7440">
        <w:t xml:space="preserve">theoretical postures </w:t>
      </w:r>
      <w:r w:rsidR="00B50547">
        <w:t xml:space="preserve">present familiar conceptions of how </w:t>
      </w:r>
      <w:r w:rsidR="00BF7440">
        <w:t xml:space="preserve">the </w:t>
      </w:r>
      <w:r w:rsidR="00B50547">
        <w:t>state</w:t>
      </w:r>
      <w:r w:rsidR="00BF7440">
        <w:t xml:space="preserve"> can</w:t>
      </w:r>
      <w:r w:rsidR="00B50547">
        <w:t xml:space="preserve"> relate to </w:t>
      </w:r>
      <w:r w:rsidRPr="00FA04D5">
        <w:t>citizens. However, citizens rarely consent to who governs them; we’re born into a political life,</w:t>
      </w:r>
      <w:r w:rsidR="00B50547">
        <w:t xml:space="preserve"> and</w:t>
      </w:r>
      <w:r w:rsidRPr="00FA04D5">
        <w:t xml:space="preserve"> we </w:t>
      </w:r>
      <w:r w:rsidR="00050E07">
        <w:t>do not</w:t>
      </w:r>
      <w:r w:rsidRPr="00FA04D5">
        <w:t xml:space="preserve"> get to choose who governs us. Hume saw this clearly: “We may as well assert that a man, by remaining in a vessel, freely consents to the dominion of the master; though he was carried on board while asleep, and must leap into the ocean and perish, the moment he leaves her.</w:t>
      </w:r>
      <w:r>
        <w:t>”</w:t>
      </w:r>
      <w:r>
        <w:rPr>
          <w:rStyle w:val="EndnoteReference"/>
        </w:rPr>
        <w:endnoteReference w:id="1"/>
      </w:r>
      <w:r w:rsidRPr="00FA04D5">
        <w:t xml:space="preserve"> </w:t>
      </w:r>
      <w:r w:rsidR="00B50547">
        <w:t xml:space="preserve">In Hume’s sense, most of us are “carried” and assume our respective roles without protest when “on board.” </w:t>
      </w:r>
      <w:r w:rsidRPr="00FA04D5">
        <w:t>That political life provides us with benefits, and the state is often the only provider of essential goods—</w:t>
      </w:r>
      <w:r w:rsidR="00BF7440">
        <w:t>our choices are limited</w:t>
      </w:r>
      <w:r w:rsidRPr="00FA04D5">
        <w:t>. If obligation requires actual consent of every citizen, liberal states justifying their authority on contractarian grounds haven’t the authority they assume</w:t>
      </w:r>
      <w:r w:rsidR="00BF7440">
        <w:t xml:space="preserve"> in the strictest sense</w:t>
      </w:r>
      <w:r w:rsidRPr="00FA04D5">
        <w:t xml:space="preserve">. If, on the other hand, reciprocal benefit is enough for authority, we may be endorsing a softer kind of moral coercion or, more harshly, </w:t>
      </w:r>
      <w:r w:rsidR="00B50547">
        <w:t>we may be gently endorsing something resembling</w:t>
      </w:r>
      <w:r w:rsidRPr="00FA04D5">
        <w:t xml:space="preserve"> a racketeering scheme.</w:t>
      </w:r>
    </w:p>
    <w:p w14:paraId="0A93E883" w14:textId="77777777" w:rsidR="002D3510" w:rsidRPr="00C6712D" w:rsidRDefault="002D3510" w:rsidP="002D3510">
      <w:pPr>
        <w:ind w:firstLine="720"/>
        <w:rPr>
          <w:lang w:val="en-CA"/>
        </w:rPr>
      </w:pPr>
      <w:r w:rsidRPr="00C6712D">
        <w:rPr>
          <w:lang w:val="en-CA"/>
        </w:rPr>
        <w:t xml:space="preserve">Both theories share a vulnerability in that each assumes some past transaction between citizen and state. From this, they generalize a binding relationship they take to be inherent in liberal democratic life. Robert Nozick shows why the move fails. In </w:t>
      </w:r>
      <w:r w:rsidRPr="00C6712D">
        <w:rPr>
          <w:i/>
          <w:iCs/>
          <w:lang w:val="en-CA"/>
        </w:rPr>
        <w:t>Anarchy, State, and Utopia</w:t>
      </w:r>
      <w:r w:rsidRPr="00C6712D">
        <w:rPr>
          <w:lang w:val="en-CA"/>
        </w:rPr>
        <w:t xml:space="preserve"> he argues that “[o]ne cannot, whatever one’s purposes, just act </w:t>
      </w:r>
      <w:proofErr w:type="gramStart"/>
      <w:r w:rsidRPr="00C6712D">
        <w:rPr>
          <w:lang w:val="en-CA"/>
        </w:rPr>
        <w:t>so as to</w:t>
      </w:r>
      <w:proofErr w:type="gramEnd"/>
      <w:r w:rsidRPr="00C6712D">
        <w:rPr>
          <w:lang w:val="en-CA"/>
        </w:rPr>
        <w:t xml:space="preserve"> give people benefits and then demand (or seize) payment. Nor can a group of persons do this.”</w:t>
      </w:r>
      <w:r w:rsidRPr="00C6712D">
        <w:rPr>
          <w:rStyle w:val="EndnoteReference"/>
        </w:rPr>
        <w:t xml:space="preserve"> </w:t>
      </w:r>
      <w:r>
        <w:rPr>
          <w:rStyle w:val="EndnoteReference"/>
        </w:rPr>
        <w:endnoteReference w:id="2"/>
      </w:r>
      <w:r>
        <w:t xml:space="preserve"> </w:t>
      </w:r>
      <w:r w:rsidRPr="00C6712D">
        <w:rPr>
          <w:lang w:val="en-CA"/>
        </w:rPr>
        <w:t>Your friendly neighbor mows your lawn while you’re away but later asks for payment. You may still pay out of guilt</w:t>
      </w:r>
      <w:r w:rsidR="00BF7440">
        <w:rPr>
          <w:lang w:val="en-CA"/>
        </w:rPr>
        <w:t xml:space="preserve"> or </w:t>
      </w:r>
      <w:r w:rsidR="00050E07">
        <w:rPr>
          <w:lang w:val="en-CA"/>
        </w:rPr>
        <w:t xml:space="preserve">to </w:t>
      </w:r>
      <w:r w:rsidR="00BF7440">
        <w:rPr>
          <w:lang w:val="en-CA"/>
        </w:rPr>
        <w:t>keep good relations</w:t>
      </w:r>
      <w:r w:rsidRPr="00C6712D">
        <w:rPr>
          <w:lang w:val="en-CA"/>
        </w:rPr>
        <w:t>, but you are not obliged to. The state, which mows every lawn, is in much the same position.</w:t>
      </w:r>
    </w:p>
    <w:p w14:paraId="674B9EA3" w14:textId="77777777" w:rsidR="002D3510" w:rsidRDefault="002D3510" w:rsidP="002D3510">
      <w:pPr>
        <w:ind w:firstLine="720"/>
      </w:pPr>
      <w:r>
        <w:lastRenderedPageBreak/>
        <w:t xml:space="preserve">Joseph Raz, in </w:t>
      </w:r>
      <w:r>
        <w:rPr>
          <w:rStyle w:val="Emphasis"/>
        </w:rPr>
        <w:t>The Morality of Freedom</w:t>
      </w:r>
      <w:r>
        <w:t xml:space="preserve">, offers an alternative. Rather than looking back to a transaction between citizen and state, he turns to the directives we </w:t>
      </w:r>
      <w:proofErr w:type="gramStart"/>
      <w:r>
        <w:t>actually fac</w:t>
      </w:r>
      <w:r w:rsidR="00B50547">
        <w:t>e</w:t>
      </w:r>
      <w:proofErr w:type="gramEnd"/>
      <w:r>
        <w:t xml:space="preserve">. His question places authority at the level of the individual: whether following the state’s directives on a given matter helps her act as she should, here and now and going forward. When a physician prescribes </w:t>
      </w:r>
      <w:r w:rsidR="0056087D">
        <w:t>medicine</w:t>
      </w:r>
      <w:r>
        <w:t xml:space="preserve">, a patient </w:t>
      </w:r>
      <w:r w:rsidR="0056087D">
        <w:t xml:space="preserve">presumably follows its requirements </w:t>
      </w:r>
      <w:r>
        <w:t>not because she promised to, but because her health requires it, and she takes for granted</w:t>
      </w:r>
      <w:r w:rsidR="0056087D">
        <w:t xml:space="preserve">, even minimally, </w:t>
      </w:r>
      <w:r>
        <w:t>that the physician is better placed than she is to know what that requires.</w:t>
      </w:r>
      <w:r w:rsidR="00F63C2D">
        <w:rPr>
          <w:rStyle w:val="EndnoteReference"/>
        </w:rPr>
        <w:endnoteReference w:id="3"/>
      </w:r>
      <w:r>
        <w:t xml:space="preserve"> </w:t>
      </w:r>
      <w:r w:rsidR="001816B9" w:rsidRPr="001816B9">
        <w:t>She has accepted that the physician’s directives track reasons that already apply to her, and that following them gives her a better chance of acting on those reasons than working things out alone.</w:t>
      </w:r>
      <w:r w:rsidR="001816B9">
        <w:t xml:space="preserve"> </w:t>
      </w:r>
      <w:r w:rsidR="006B11F3">
        <w:t>This</w:t>
      </w:r>
      <w:r>
        <w:t xml:space="preserve"> example suggests a practical audit, testing </w:t>
      </w:r>
      <w:r w:rsidR="00050E07">
        <w:t xml:space="preserve">our </w:t>
      </w:r>
      <w:r>
        <w:t>relationship to the stat</w:t>
      </w:r>
      <w:r w:rsidR="00050E07">
        <w:t>e</w:t>
      </w:r>
      <w:r>
        <w:t xml:space="preserve"> domain by domain.</w:t>
      </w:r>
      <w:r>
        <w:rPr>
          <w:rStyle w:val="EndnoteReference"/>
        </w:rPr>
        <w:endnoteReference w:id="4"/>
      </w:r>
    </w:p>
    <w:p w14:paraId="5B11C421" w14:textId="77777777" w:rsidR="002D3510" w:rsidRPr="00304024" w:rsidRDefault="002D3510" w:rsidP="002D3510">
      <w:pPr>
        <w:ind w:firstLine="720"/>
        <w:rPr>
          <w:lang w:val="en-CA"/>
        </w:rPr>
      </w:pPr>
      <w:r w:rsidRPr="00304024">
        <w:rPr>
          <w:lang w:val="en-CA"/>
        </w:rPr>
        <w:t xml:space="preserve">I have been thinking about recent </w:t>
      </w:r>
      <w:r w:rsidR="00050E07">
        <w:rPr>
          <w:lang w:val="en-CA"/>
        </w:rPr>
        <w:t xml:space="preserve">Canadian </w:t>
      </w:r>
      <w:r w:rsidRPr="00304024">
        <w:rPr>
          <w:lang w:val="en-CA"/>
        </w:rPr>
        <w:t xml:space="preserve">events </w:t>
      </w:r>
      <w:proofErr w:type="gramStart"/>
      <w:r w:rsidRPr="00304024">
        <w:rPr>
          <w:lang w:val="en-CA"/>
        </w:rPr>
        <w:t>in light of</w:t>
      </w:r>
      <w:proofErr w:type="gramEnd"/>
      <w:r w:rsidRPr="00304024">
        <w:rPr>
          <w:lang w:val="en-CA"/>
        </w:rPr>
        <w:t xml:space="preserve"> Raz’s service conception, and this chapter is an attempt to translate his insights into an audit of state authority in three distinct but socially and politically charged domains. We are still experiencing the effects of COVID-19 mandates. The state served as proxy for health professionals, and its use of medical expertise to coordinate public behavior was met with vigorous criticism by some. The second domain, where the state regulates protest, tests </w:t>
      </w:r>
      <w:r w:rsidR="00050E07">
        <w:rPr>
          <w:lang w:val="en-CA"/>
        </w:rPr>
        <w:t xml:space="preserve">citizens’ reasons </w:t>
      </w:r>
      <w:r w:rsidRPr="00304024">
        <w:rPr>
          <w:lang w:val="en-CA"/>
        </w:rPr>
        <w:t>to assemble and contest authority. And finally, the third domain examines Quebec’s Bill 21, where the state’s claim to be protecting neutrality</w:t>
      </w:r>
      <w:r w:rsidR="00AC77BB">
        <w:rPr>
          <w:lang w:val="en-CA"/>
        </w:rPr>
        <w:t xml:space="preserve">—and, so, </w:t>
      </w:r>
      <w:r w:rsidR="00AC77BB">
        <w:rPr>
          <w:i/>
          <w:iCs/>
          <w:lang w:val="en-CA"/>
        </w:rPr>
        <w:t>secularism</w:t>
      </w:r>
      <w:r w:rsidR="00AC77BB">
        <w:rPr>
          <w:lang w:val="en-CA"/>
        </w:rPr>
        <w:t>—</w:t>
      </w:r>
      <w:r w:rsidRPr="00304024">
        <w:rPr>
          <w:lang w:val="en-CA"/>
        </w:rPr>
        <w:t>may</w:t>
      </w:r>
      <w:r w:rsidR="00AC77BB">
        <w:rPr>
          <w:lang w:val="en-CA"/>
        </w:rPr>
        <w:t xml:space="preserve"> </w:t>
      </w:r>
      <w:r w:rsidRPr="00304024">
        <w:rPr>
          <w:lang w:val="en-CA"/>
        </w:rPr>
        <w:t xml:space="preserve">conflict with some citizens’ </w:t>
      </w:r>
      <w:r w:rsidR="00050E07">
        <w:rPr>
          <w:lang w:val="en-CA"/>
        </w:rPr>
        <w:t>reasons</w:t>
      </w:r>
      <w:r w:rsidR="00050E07" w:rsidRPr="00304024">
        <w:rPr>
          <w:lang w:val="en-CA"/>
        </w:rPr>
        <w:t xml:space="preserve"> </w:t>
      </w:r>
      <w:r w:rsidR="00050E07">
        <w:rPr>
          <w:lang w:val="en-CA"/>
        </w:rPr>
        <w:t>to</w:t>
      </w:r>
      <w:r w:rsidR="00AC77BB">
        <w:rPr>
          <w:lang w:val="en-CA"/>
        </w:rPr>
        <w:t xml:space="preserve"> freely</w:t>
      </w:r>
      <w:r w:rsidRPr="00304024">
        <w:rPr>
          <w:lang w:val="en-CA"/>
        </w:rPr>
        <w:t xml:space="preserve"> express their religious commitments.</w:t>
      </w:r>
      <w:r w:rsidR="00D30A7D">
        <w:rPr>
          <w:rStyle w:val="EndnoteReference"/>
          <w:lang w:val="en-CA"/>
        </w:rPr>
        <w:endnoteReference w:id="5"/>
      </w:r>
      <w:r w:rsidRPr="00304024">
        <w:rPr>
          <w:lang w:val="en-CA"/>
        </w:rPr>
        <w:t xml:space="preserve"> The audit gives a different answer in each domain</w:t>
      </w:r>
      <w:r w:rsidR="001816B9">
        <w:rPr>
          <w:lang w:val="en-CA"/>
        </w:rPr>
        <w:t xml:space="preserve"> and tests the state’s claim to authority</w:t>
      </w:r>
      <w:r w:rsidRPr="00304024">
        <w:rPr>
          <w:lang w:val="en-CA"/>
        </w:rPr>
        <w:t>. Public health directives can pass when risk and uncertainty are acute; broad restrictions on public protest largely fail; and Bill 21 reveals a deeper problem, where the state cannot meaningfully serve its citizens’ reasons at all.</w:t>
      </w:r>
    </w:p>
    <w:p w14:paraId="539E1BED" w14:textId="77777777" w:rsidR="002D3510" w:rsidRPr="00304024" w:rsidRDefault="002D3510" w:rsidP="002D3510">
      <w:pPr>
        <w:ind w:firstLine="720"/>
        <w:rPr>
          <w:lang w:val="en-CA"/>
        </w:rPr>
      </w:pPr>
      <w:r w:rsidRPr="00304024">
        <w:rPr>
          <w:lang w:val="en-CA"/>
        </w:rPr>
        <w:t>Following Raz, I argue that authority is possible but without presumption. Its legitimacy is conditional, domain-specific, and vulnerable to failure</w:t>
      </w:r>
      <w:r w:rsidR="00AC77BB">
        <w:rPr>
          <w:lang w:val="en-CA"/>
        </w:rPr>
        <w:t>.</w:t>
      </w:r>
      <w:r w:rsidRPr="00304024">
        <w:rPr>
          <w:lang w:val="en-CA"/>
        </w:rPr>
        <w:t xml:space="preserve"> </w:t>
      </w:r>
      <w:r w:rsidR="00AC77BB">
        <w:rPr>
          <w:lang w:val="en-CA"/>
        </w:rPr>
        <w:t>Importantly,</w:t>
      </w:r>
      <w:r w:rsidRPr="00304024">
        <w:rPr>
          <w:lang w:val="en-CA"/>
        </w:rPr>
        <w:t xml:space="preserve"> </w:t>
      </w:r>
      <w:r w:rsidRPr="00AC77BB">
        <w:rPr>
          <w:i/>
          <w:iCs/>
          <w:lang w:val="en-CA"/>
        </w:rPr>
        <w:t>legal power can outlast moral authority</w:t>
      </w:r>
      <w:r w:rsidR="00FA200C">
        <w:rPr>
          <w:lang w:val="en-CA"/>
        </w:rPr>
        <w:t xml:space="preserve">. </w:t>
      </w:r>
      <w:r w:rsidRPr="00304024">
        <w:rPr>
          <w:lang w:val="en-CA"/>
        </w:rPr>
        <w:t>W.J. Coats’s chapter on Michael Oakeshott in this volume invites an important objection: that an audit of this kind is a managerial enterprise, judging state authority by what it achieves rather than by what it is. I return to Coats and Oakeshott in the conclusion.</w:t>
      </w:r>
    </w:p>
    <w:p w14:paraId="73A22930" w14:textId="77777777" w:rsidR="002D3510" w:rsidRPr="00C56C82" w:rsidRDefault="002D3510" w:rsidP="002D3510">
      <w:pPr>
        <w:pStyle w:val="Heading2"/>
      </w:pPr>
      <w:r w:rsidRPr="00C56C82">
        <w:t xml:space="preserve">2. Raz’s Service Conception and </w:t>
      </w:r>
      <w:r w:rsidR="00AF23D7">
        <w:t>Its</w:t>
      </w:r>
      <w:r w:rsidRPr="00C56C82">
        <w:t xml:space="preserve"> Limits</w:t>
      </w:r>
    </w:p>
    <w:p w14:paraId="2F130B54" w14:textId="77777777" w:rsidR="002D3510" w:rsidRDefault="002D3510" w:rsidP="002D3510"/>
    <w:p w14:paraId="08A656C8" w14:textId="77777777" w:rsidR="002D3510" w:rsidRDefault="002D3510" w:rsidP="002D3510">
      <w:r>
        <w:lastRenderedPageBreak/>
        <w:tab/>
        <w:t xml:space="preserve">Recall the patient mentioned in the introduction. She has visited a physician and received a diagnosis and prescription. She’ll now do what the physician </w:t>
      </w:r>
      <w:r w:rsidR="00B54F84">
        <w:t>requires</w:t>
      </w:r>
      <w:r>
        <w:t xml:space="preserve"> of her. Her reasoning has a precise form in what Raz calls the normal justification thesis: </w:t>
      </w:r>
    </w:p>
    <w:p w14:paraId="705BF226" w14:textId="77777777" w:rsidR="002D3510" w:rsidRDefault="002D3510" w:rsidP="002D3510">
      <w:pPr>
        <w:pStyle w:val="Quote"/>
      </w:pPr>
      <w:r w:rsidRPr="009647A3">
        <w:t>the normal way to establish that a person has authority over another person involves showing that the alleged subject is likely better to comply with reasons which apply to him (other than the alleged authoritative directives) if he accepts the directives of the alleged authority as authoritatively binding and tries to follow them, rather than by trying to follow the reasons which apply to him directly.</w:t>
      </w:r>
      <w:r>
        <w:rPr>
          <w:rStyle w:val="EndnoteReference"/>
        </w:rPr>
        <w:endnoteReference w:id="6"/>
      </w:r>
    </w:p>
    <w:p w14:paraId="12657E30" w14:textId="77777777" w:rsidR="002D3510" w:rsidRDefault="002D3510" w:rsidP="002D3510"/>
    <w:p w14:paraId="5AA6BDF2" w14:textId="09AA88B7" w:rsidR="002D3510" w:rsidRPr="002829C2" w:rsidRDefault="002D3510" w:rsidP="002D3510">
      <w:pPr>
        <w:rPr>
          <w:lang w:val="en-CA"/>
        </w:rPr>
      </w:pPr>
      <w:r>
        <w:tab/>
      </w:r>
      <w:r w:rsidRPr="002829C2">
        <w:rPr>
          <w:lang w:val="en-CA"/>
        </w:rPr>
        <w:t xml:space="preserve">Put plainly, someone has authority over us when we would do better, by the reasons that apply to us, following their directives than working things out on our own. </w:t>
      </w:r>
      <w:r w:rsidR="002A5BA3">
        <w:rPr>
          <w:lang w:val="en-CA"/>
        </w:rPr>
        <w:t xml:space="preserve">Consistent with Raz, the test is comparative. </w:t>
      </w:r>
      <w:r w:rsidRPr="002829C2">
        <w:rPr>
          <w:lang w:val="en-CA"/>
        </w:rPr>
        <w:t>The physician need not be infallible</w:t>
      </w:r>
      <w:r w:rsidR="002A5BA3">
        <w:rPr>
          <w:lang w:val="en-CA"/>
        </w:rPr>
        <w:t>,</w:t>
      </w:r>
      <w:r w:rsidRPr="002829C2">
        <w:rPr>
          <w:lang w:val="en-CA"/>
        </w:rPr>
        <w:t xml:space="preserve"> only more reliable than the patient.</w:t>
      </w:r>
    </w:p>
    <w:p w14:paraId="49D1C3D5" w14:textId="77777777" w:rsidR="00147A91" w:rsidRDefault="004F5766" w:rsidP="002D3510">
      <w:pPr>
        <w:ind w:firstLine="720"/>
      </w:pPr>
      <w:r>
        <w:t xml:space="preserve">What the physician knows are the reasons </w:t>
      </w:r>
      <w:r w:rsidR="00E30346">
        <w:t xml:space="preserve">for why </w:t>
      </w:r>
      <w:r>
        <w:t xml:space="preserve">the patient </w:t>
      </w:r>
      <w:proofErr w:type="gramStart"/>
      <w:r>
        <w:t>has to</w:t>
      </w:r>
      <w:proofErr w:type="gramEnd"/>
      <w:r>
        <w:t xml:space="preserve"> take the prescribed medicine, in the prescribed dose, to restore her health.</w:t>
      </w:r>
      <w:r w:rsidR="00F94EA6">
        <w:t xml:space="preserve"> </w:t>
      </w:r>
      <w:r>
        <w:t xml:space="preserve">Those reasons apply to her </w:t>
      </w:r>
      <w:proofErr w:type="gramStart"/>
      <w:r>
        <w:t>whether or not</w:t>
      </w:r>
      <w:proofErr w:type="gramEnd"/>
      <w:r>
        <w:t xml:space="preserve"> she knows them, consults a physician, or would choose to act on them.</w:t>
      </w:r>
      <w:r w:rsidR="002D3510" w:rsidRPr="002D3510">
        <w:t xml:space="preserve"> That is partly why we seek the guidance of those we trust to see reasons we cannot.</w:t>
      </w:r>
      <w:r w:rsidR="002D3510">
        <w:t xml:space="preserve"> Raz’s dependence thesis tells us how a good authority decides: its directives “should be based on reasons which already independently apply” to those it directs.</w:t>
      </w:r>
      <w:r w:rsidR="002D3510">
        <w:rPr>
          <w:rStyle w:val="EndnoteReference"/>
        </w:rPr>
        <w:endnoteReference w:id="7"/>
      </w:r>
      <w:r w:rsidR="002D3510">
        <w:t xml:space="preserve"> </w:t>
      </w:r>
      <w:r w:rsidR="00147A91">
        <w:t xml:space="preserve">An authority can appear to act on the right reasons without doing </w:t>
      </w:r>
      <w:proofErr w:type="gramStart"/>
      <w:r w:rsidR="00147A91">
        <w:t>so, and</w:t>
      </w:r>
      <w:proofErr w:type="gramEnd"/>
      <w:r w:rsidR="00147A91">
        <w:t xml:space="preserve"> still receive our deference. A physician who conforms to expected norms but prescribes out of habit or for her own convenience fails that standard, even if the patient never finds out. The normal justification thesis tests whether we should defer; the dependence thesis tells the authority how to earn it.</w:t>
      </w:r>
    </w:p>
    <w:p w14:paraId="0F5290D5" w14:textId="77777777" w:rsidR="002D3510" w:rsidRDefault="00B3640D" w:rsidP="002D3510">
      <w:pPr>
        <w:ind w:firstLine="720"/>
      </w:pPr>
      <w:r>
        <w:t xml:space="preserve">Today patients often search the internet or ask </w:t>
      </w:r>
      <w:r w:rsidR="00E30346">
        <w:t>artificial intelligence</w:t>
      </w:r>
      <w:r>
        <w:t xml:space="preserve"> to assess their conditions and suggest remedies. But a patient who checked every prescription against her own reading of the evidence, with or without A.I., would have little need of a physician. She would have made herself the authority. For Raz, a legitimate directive does not simply join the other reasons in play: “the fact that an authority requires performance of an action is a reason for its performance which is not to be added to all other relevant reasons when assessing what to do, but should exclude and take the place of some of them.” </w:t>
      </w:r>
      <w:r w:rsidR="00AD307A">
        <w:t xml:space="preserve">Raz calls this </w:t>
      </w:r>
      <w:r w:rsidR="005A0D0D">
        <w:t>t</w:t>
      </w:r>
      <w:r w:rsidR="00AD307A">
        <w:t>he pre-emption thesis.</w:t>
      </w:r>
      <w:r>
        <w:rPr>
          <w:rStyle w:val="EndnoteReference"/>
        </w:rPr>
        <w:endnoteReference w:id="8"/>
      </w:r>
      <w:r w:rsidR="00AD307A">
        <w:t xml:space="preserve"> </w:t>
      </w:r>
      <w:r>
        <w:t xml:space="preserve">Once </w:t>
      </w:r>
      <w:r w:rsidR="006B11F3">
        <w:t>the patient</w:t>
      </w:r>
      <w:r>
        <w:t xml:space="preserve"> accepts the physician’s authority, she stops weighing the matter herself. That is what deference is, and it is what makes authority useful. But if we cannot re-check each directive, what can we assess?</w:t>
      </w:r>
      <w:r w:rsidR="002D3510">
        <w:tab/>
      </w:r>
    </w:p>
    <w:p w14:paraId="6D8AF5AC" w14:textId="04A4F5B4" w:rsidR="001E7909" w:rsidRDefault="005A0D0D" w:rsidP="001E7909">
      <w:pPr>
        <w:ind w:firstLine="720"/>
      </w:pPr>
      <w:r>
        <w:lastRenderedPageBreak/>
        <w:t>Pre-emption</w:t>
      </w:r>
      <w:r w:rsidR="00FA2050" w:rsidRPr="00FA2050">
        <w:t xml:space="preserve"> has a consequence for any audit of the state. Deference enjoins us to resist testing every state directive, since this would undermine deference itself. </w:t>
      </w:r>
      <w:r w:rsidR="001E7909">
        <w:t xml:space="preserve">What we can assess, then, is the state’s authority over a domain, and as democratic citizens we are accustomed to assessing it across </w:t>
      </w:r>
      <w:r w:rsidR="00113A9D">
        <w:t>many areas that affect our lives</w:t>
      </w:r>
      <w:r w:rsidR="001E7909">
        <w:t>. We defer to the state’s directives where deferring helps us conform better to reasons that already apply to us. The risk we take is that we accept that a directive binds even when mistaken, provided its error is not plain. Authority, on this view, comes in patches: it may hold in one domain but fail in another. Raz himself concludes that governments claim more of it than they have.</w:t>
      </w:r>
      <w:r>
        <w:rPr>
          <w:rStyle w:val="EndnoteReference"/>
        </w:rPr>
        <w:endnoteReference w:id="9"/>
      </w:r>
      <w:r w:rsidR="001E7909">
        <w:t xml:space="preserve">  Even a physician</w:t>
      </w:r>
      <w:r w:rsidR="00113A9D">
        <w:t>’s prescribed treatment</w:t>
      </w:r>
      <w:r w:rsidR="001E7909">
        <w:t xml:space="preserve">, as most of us know from experience, may be set aside in favor of our own judgment. Some decisions rightly remain the </w:t>
      </w:r>
      <w:proofErr w:type="gramStart"/>
      <w:r w:rsidR="001E7909">
        <w:t>patient’s</w:t>
      </w:r>
      <w:proofErr w:type="gramEnd"/>
      <w:r w:rsidR="001E7909">
        <w:t>.</w:t>
      </w:r>
    </w:p>
    <w:p w14:paraId="06FFAD77" w14:textId="77777777" w:rsidR="004D3C3B" w:rsidRDefault="001E7909" w:rsidP="001E7909">
      <w:pPr>
        <w:ind w:firstLine="720"/>
      </w:pPr>
      <w:r>
        <w:t>The physician can prescribe a treatment and set its dose. Whether the patient undergoes a risky surgery, given the life she wants to lead, is ultimately hers to decide, even if the physician would decide better</w:t>
      </w:r>
      <w:r w:rsidRPr="004F095D">
        <w:t>.</w:t>
      </w:r>
      <w:r>
        <w:t xml:space="preserve"> </w:t>
      </w:r>
      <w:r w:rsidR="004F095D" w:rsidRPr="004F095D">
        <w:t xml:space="preserve">Raz later made this a second condition of legitimate authority: </w:t>
      </w:r>
      <w:r w:rsidR="004F095D" w:rsidRPr="004F095D">
        <w:rPr>
          <w:lang w:val="en-CA"/>
        </w:rPr>
        <w:t>“The matters regarding which the first condition</w:t>
      </w:r>
      <w:r w:rsidR="008C0450">
        <w:rPr>
          <w:lang w:val="en-CA"/>
        </w:rPr>
        <w:t xml:space="preserve"> [the normal justification </w:t>
      </w:r>
      <w:r w:rsidR="00041356">
        <w:rPr>
          <w:lang w:val="en-CA"/>
        </w:rPr>
        <w:t>thesis</w:t>
      </w:r>
      <w:r w:rsidR="008C0450">
        <w:rPr>
          <w:lang w:val="en-CA"/>
        </w:rPr>
        <w:t>]</w:t>
      </w:r>
      <w:r w:rsidR="004F095D" w:rsidRPr="004F095D">
        <w:rPr>
          <w:lang w:val="en-CA"/>
        </w:rPr>
        <w:t xml:space="preserve"> is met are such that with respect to them it is better to conform to reason than to decide for oneself, unaided by authority.”</w:t>
      </w:r>
      <w:r>
        <w:rPr>
          <w:rStyle w:val="EndnoteReference"/>
        </w:rPr>
        <w:endnoteReference w:id="10"/>
      </w:r>
      <w:r w:rsidR="004F095D">
        <w:rPr>
          <w:lang w:val="en-CA"/>
        </w:rPr>
        <w:t xml:space="preserve"> </w:t>
      </w:r>
      <w:r w:rsidR="004F095D" w:rsidRPr="004F095D">
        <w:t xml:space="preserve">Some matters are like this. Whom we marry, </w:t>
      </w:r>
      <w:r w:rsidR="00E30346">
        <w:t>whether we believe in</w:t>
      </w:r>
      <w:r w:rsidR="004F095D" w:rsidRPr="004F095D">
        <w:t xml:space="preserve"> God, what we say in public: getting these right matters, but so does the fact that the choice is ours. Here autonomy enters Raz’s account. </w:t>
      </w:r>
      <w:r w:rsidR="00AF23D7">
        <w:t xml:space="preserve">Robert Paul </w:t>
      </w:r>
      <w:r w:rsidR="004F095D" w:rsidRPr="004F095D">
        <w:t>Wolff</w:t>
      </w:r>
      <w:r w:rsidR="00AF23D7">
        <w:t xml:space="preserve"> famously</w:t>
      </w:r>
      <w:r w:rsidR="004F095D" w:rsidRPr="004F095D">
        <w:t xml:space="preserve"> </w:t>
      </w:r>
      <w:r w:rsidR="00AF23D7">
        <w:t>held that</w:t>
      </w:r>
      <w:r w:rsidR="004F095D" w:rsidRPr="004F095D">
        <w:t xml:space="preserve"> </w:t>
      </w:r>
      <w:r w:rsidR="008C0450">
        <w:t>authority and autonomy</w:t>
      </w:r>
      <w:r w:rsidR="00AF23D7">
        <w:t xml:space="preserve"> are</w:t>
      </w:r>
      <w:r w:rsidR="004F095D" w:rsidRPr="004F095D">
        <w:t xml:space="preserve"> irreconcilable: </w:t>
      </w:r>
      <w:r w:rsidR="004F095D">
        <w:t>“The defining mark of the state is authority, the right to rule. The primary obligation of man is autonomy, the refusal to be ruled.”</w:t>
      </w:r>
      <w:r>
        <w:rPr>
          <w:rStyle w:val="EndnoteReference"/>
        </w:rPr>
        <w:endnoteReference w:id="11"/>
      </w:r>
      <w:r w:rsidR="004F095D" w:rsidRPr="004F095D">
        <w:t xml:space="preserve"> Raz shows that authority and autonomy can be reconciled, within limits, and this condition marks them.</w:t>
      </w:r>
    </w:p>
    <w:p w14:paraId="19AE69F3" w14:textId="77777777" w:rsidR="00AF23D7" w:rsidRDefault="001E7909" w:rsidP="00AF23D7">
      <w:pPr>
        <w:ind w:firstLine="720"/>
      </w:pPr>
      <w:r>
        <w:t>The audit, then, puts three questions to each domain. What reasons apply to citizens here? Would deferring to the state help them act on those reasons better than their own judgment would? And is this a matter on which it is better that they decide for themselves? The questions follow Raz: the reasons that apply, the normal justification thesis, and the independence condition. Public health is where the answer to the second question is most plausibly yes, and to the third most plausibly no.</w:t>
      </w:r>
    </w:p>
    <w:p w14:paraId="53236033" w14:textId="77777777" w:rsidR="00D27D6A" w:rsidRDefault="00AF23D7" w:rsidP="00493C0B">
      <w:pPr>
        <w:pStyle w:val="Heading2"/>
      </w:pPr>
      <w:r>
        <w:t>3. Public Health and the Pandemic</w:t>
      </w:r>
    </w:p>
    <w:p w14:paraId="0F2E64F7" w14:textId="77777777" w:rsidR="00493C0B" w:rsidRDefault="00493C0B" w:rsidP="00AF23D7">
      <w:pPr>
        <w:pStyle w:val="BodyText"/>
        <w:ind w:firstLine="0"/>
      </w:pPr>
      <w:r>
        <w:tab/>
      </w:r>
    </w:p>
    <w:p w14:paraId="01E40272" w14:textId="77777777" w:rsidR="00493C0B" w:rsidRPr="00493C0B" w:rsidRDefault="00493C0B" w:rsidP="00493C0B">
      <w:pPr>
        <w:pStyle w:val="BodyText"/>
        <w:rPr>
          <w:lang w:val="en-CA"/>
        </w:rPr>
      </w:pPr>
      <w:r w:rsidRPr="00493C0B">
        <w:rPr>
          <w:lang w:val="en-CA"/>
        </w:rPr>
        <w:t xml:space="preserve">In the autumn of 2021, Canadians who wanted to board a plane or a train had to show proof of vaccination. Core public servants, including members of the RCMP, were required to </w:t>
      </w:r>
      <w:r w:rsidRPr="00493C0B">
        <w:rPr>
          <w:lang w:val="en-CA"/>
        </w:rPr>
        <w:lastRenderedPageBreak/>
        <w:t>confirm their vaccination status by October 29, 2021, and those who did not faced unpaid administrative leave as early as November 15</w:t>
      </w:r>
      <w:r w:rsidR="00E30346">
        <w:rPr>
          <w:lang w:val="en-CA"/>
        </w:rPr>
        <w:t xml:space="preserve"> of that same year</w:t>
      </w:r>
      <w:r w:rsidRPr="00493C0B">
        <w:rPr>
          <w:lang w:val="en-CA"/>
        </w:rPr>
        <w:t>.</w:t>
      </w:r>
      <w:r>
        <w:rPr>
          <w:rStyle w:val="EndnoteReference"/>
        </w:rPr>
        <w:endnoteReference w:id="12"/>
      </w:r>
      <w:r w:rsidRPr="00493C0B">
        <w:rPr>
          <w:lang w:val="en-CA"/>
        </w:rPr>
        <w:t xml:space="preserve"> Over the summer and fall, provinces introduced vaccine passport systems restricting unvaccinated people’s access to non-essential services, including restaurants, gyms, and event venues. In each case the state acted on the strength of medical expertise and in each </w:t>
      </w:r>
      <w:r w:rsidR="00686FC4" w:rsidRPr="00493C0B">
        <w:rPr>
          <w:lang w:val="en-CA"/>
        </w:rPr>
        <w:t>case,</w:t>
      </w:r>
      <w:r w:rsidRPr="00493C0B">
        <w:rPr>
          <w:lang w:val="en-CA"/>
        </w:rPr>
        <w:t xml:space="preserve"> it met</w:t>
      </w:r>
      <w:r w:rsidR="00E30346">
        <w:rPr>
          <w:lang w:val="en-CA"/>
        </w:rPr>
        <w:t xml:space="preserve"> relatively small, if vigorous, opposition</w:t>
      </w:r>
      <w:r w:rsidRPr="00493C0B">
        <w:rPr>
          <w:lang w:val="en-CA"/>
        </w:rPr>
        <w:t xml:space="preserve">. </w:t>
      </w:r>
      <w:r w:rsidR="007A1B5B">
        <w:rPr>
          <w:lang w:val="en-CA"/>
        </w:rPr>
        <w:t>Support</w:t>
      </w:r>
      <w:r w:rsidR="00686FC4">
        <w:rPr>
          <w:lang w:val="en-CA"/>
        </w:rPr>
        <w:t xml:space="preserve"> in 2020, </w:t>
      </w:r>
      <w:r w:rsidR="007F0DF7">
        <w:t xml:space="preserve">the first phase of our </w:t>
      </w:r>
      <w:r w:rsidR="00686FC4">
        <w:t xml:space="preserve">collective </w:t>
      </w:r>
      <w:r w:rsidR="007F0DF7">
        <w:t xml:space="preserve">response, was widespread, even in places where it would later weaken. </w:t>
      </w:r>
      <w:r w:rsidR="00E30346">
        <w:t>By</w:t>
      </w:r>
      <w:r w:rsidR="007F0DF7">
        <w:t xml:space="preserve"> the fall of 2021, most Albertans still thought restrictions too lenient rather than too harsh</w:t>
      </w:r>
      <w:r w:rsidRPr="00493C0B">
        <w:rPr>
          <w:lang w:val="en-CA"/>
        </w:rPr>
        <w:t>.</w:t>
      </w:r>
      <w:r>
        <w:rPr>
          <w:rStyle w:val="EndnoteReference"/>
        </w:rPr>
        <w:endnoteReference w:id="13"/>
      </w:r>
      <w:r w:rsidR="00686FC4">
        <w:rPr>
          <w:lang w:val="en-CA"/>
        </w:rPr>
        <w:t xml:space="preserve"> We now know how precarious that support was. </w:t>
      </w:r>
    </w:p>
    <w:p w14:paraId="233E710F" w14:textId="77777777" w:rsidR="007A1B5B" w:rsidRPr="007A1B5B" w:rsidRDefault="007A1B5B" w:rsidP="007A1B5B">
      <w:pPr>
        <w:pStyle w:val="BodyText"/>
        <w:rPr>
          <w:lang w:val="en-CA"/>
        </w:rPr>
      </w:pPr>
      <w:r w:rsidRPr="007A1B5B">
        <w:rPr>
          <w:lang w:val="en-CA"/>
        </w:rPr>
        <w:t xml:space="preserve">What reasons applied to citizens here? We had reason to avoid spreading the virus, especially to the most vulnerable; reason to protect ourselves and our families from a disease whose death toll was reported daily; and reason to keep hospitals, and the people working in them, from being overwhelmed. We came to see that one person’s restraint was not enough: we were, as the slogan went, “in this together.” People wore buttons signifying their commitments and asking the same of others. “Be Kind, </w:t>
      </w:r>
      <w:proofErr w:type="gramStart"/>
      <w:r w:rsidRPr="007A1B5B">
        <w:rPr>
          <w:lang w:val="en-CA"/>
        </w:rPr>
        <w:t>Wear</w:t>
      </w:r>
      <w:proofErr w:type="gramEnd"/>
      <w:r w:rsidRPr="007A1B5B">
        <w:rPr>
          <w:lang w:val="en-CA"/>
        </w:rPr>
        <w:t xml:space="preserve"> a Mask” and “Be Smart, Stay Home” were commonplace. More pointedly, “Get Vaccinated” and “Fully Vaccinated” spoke directly to fellow citizens. These reasons applied to each of us </w:t>
      </w:r>
      <w:proofErr w:type="gramStart"/>
      <w:r w:rsidRPr="007A1B5B">
        <w:rPr>
          <w:lang w:val="en-CA"/>
        </w:rPr>
        <w:t>whether or not</w:t>
      </w:r>
      <w:proofErr w:type="gramEnd"/>
      <w:r w:rsidRPr="007A1B5B">
        <w:rPr>
          <w:lang w:val="en-CA"/>
        </w:rPr>
        <w:t xml:space="preserve"> we understood them or believed them to be true.</w:t>
      </w:r>
      <w:r>
        <w:rPr>
          <w:lang w:val="en-CA"/>
        </w:rPr>
        <w:t xml:space="preserve"> </w:t>
      </w:r>
    </w:p>
    <w:p w14:paraId="2D841549" w14:textId="77777777" w:rsidR="00493C0B" w:rsidRDefault="00493C0B" w:rsidP="00493C0B">
      <w:pPr>
        <w:pStyle w:val="BodyText"/>
      </w:pPr>
      <w:r w:rsidRPr="00493C0B">
        <w:rPr>
          <w:lang w:val="en-CA"/>
        </w:rPr>
        <w:t xml:space="preserve">Most of us are not trained </w:t>
      </w:r>
      <w:r w:rsidR="00703289">
        <w:rPr>
          <w:lang w:val="en-CA"/>
        </w:rPr>
        <w:t xml:space="preserve">in </w:t>
      </w:r>
      <w:r w:rsidR="00182E3A">
        <w:rPr>
          <w:lang w:val="en-CA"/>
        </w:rPr>
        <w:t xml:space="preserve">even </w:t>
      </w:r>
      <w:r w:rsidR="00703289">
        <w:rPr>
          <w:lang w:val="en-CA"/>
        </w:rPr>
        <w:t>basic</w:t>
      </w:r>
      <w:r w:rsidRPr="00493C0B">
        <w:rPr>
          <w:lang w:val="en-CA"/>
        </w:rPr>
        <w:t xml:space="preserve"> epidemiology, and some of us struggled with the exponential curves on the nightly news. </w:t>
      </w:r>
      <w:r w:rsidR="00686FC4">
        <w:rPr>
          <w:lang w:val="en-CA"/>
        </w:rPr>
        <w:t>Many of us</w:t>
      </w:r>
      <w:r w:rsidRPr="00493C0B">
        <w:rPr>
          <w:lang w:val="en-CA"/>
        </w:rPr>
        <w:t xml:space="preserve"> last did logarithms in high school, and enjoyment was not</w:t>
      </w:r>
      <w:r w:rsidR="00686FC4">
        <w:rPr>
          <w:lang w:val="en-CA"/>
        </w:rPr>
        <w:t xml:space="preserve"> what we</w:t>
      </w:r>
      <w:r w:rsidRPr="00493C0B">
        <w:rPr>
          <w:lang w:val="en-CA"/>
        </w:rPr>
        <w:t xml:space="preserve"> associated with the experience. But we watched the news and tried to make sense of what was being said</w:t>
      </w:r>
      <w:r w:rsidR="007A1B5B">
        <w:rPr>
          <w:lang w:val="en-CA"/>
        </w:rPr>
        <w:t xml:space="preserve"> and what was going to be asked of us</w:t>
      </w:r>
      <w:r w:rsidRPr="00493C0B">
        <w:rPr>
          <w:lang w:val="en-CA"/>
        </w:rPr>
        <w:t>.</w:t>
      </w:r>
      <w:r>
        <w:rPr>
          <w:lang w:val="en-CA"/>
        </w:rPr>
        <w:t xml:space="preserve"> </w:t>
      </w:r>
      <w:r>
        <w:t>That gap is what made deference reasonable. Public health officials</w:t>
      </w:r>
      <w:r w:rsidR="00703289">
        <w:t xml:space="preserve">, epidemiologists, and a range of researchers from the sciences and social sciences </w:t>
      </w:r>
      <w:r>
        <w:t>could read those curves; most of us could not</w:t>
      </w:r>
      <w:r w:rsidR="00686FC4">
        <w:t xml:space="preserve">, at least not </w:t>
      </w:r>
      <w:r w:rsidR="006C52AF">
        <w:t>with confidence</w:t>
      </w:r>
      <w:r>
        <w:t xml:space="preserve">, and the state, drawing on their expertise, stood to us much as the physician stands to her patient. There was also a problem </w:t>
      </w:r>
      <w:r w:rsidR="006C52AF">
        <w:t xml:space="preserve">that </w:t>
      </w:r>
      <w:r>
        <w:t xml:space="preserve">no amount of expertise could solve alone. My mask did little </w:t>
      </w:r>
      <w:r w:rsidRPr="007F0DF7">
        <w:rPr>
          <w:lang w:val="en-US"/>
        </w:rPr>
        <w:t>if</w:t>
      </w:r>
      <w:r>
        <w:t xml:space="preserve"> my </w:t>
      </w:r>
      <w:proofErr w:type="spellStart"/>
      <w:r>
        <w:t>neighbor</w:t>
      </w:r>
      <w:proofErr w:type="spellEnd"/>
      <w:r>
        <w:t xml:space="preserve"> </w:t>
      </w:r>
      <w:r w:rsidRPr="00182E3A">
        <w:rPr>
          <w:lang w:val="en-US"/>
        </w:rPr>
        <w:t>went</w:t>
      </w:r>
      <w:r>
        <w:t xml:space="preserve"> without, and only a common rule could get us acting</w:t>
      </w:r>
      <w:r w:rsidR="006C52AF">
        <w:t xml:space="preserve"> in concert</w:t>
      </w:r>
      <w:r>
        <w:t xml:space="preserve">. Still, was vaccination not like the risky surgery, a decision that should remain ours? I think not. The </w:t>
      </w:r>
      <w:r w:rsidR="00347FA3">
        <w:t>surgical procedure</w:t>
      </w:r>
      <w:r>
        <w:t xml:space="preserve"> bears mainly on the patient’s own life</w:t>
      </w:r>
      <w:r w:rsidR="00347FA3">
        <w:t xml:space="preserve"> whereas</w:t>
      </w:r>
      <w:r>
        <w:t xml:space="preserve"> a virus travels</w:t>
      </w:r>
      <w:r w:rsidR="006C52AF">
        <w:t xml:space="preserve"> and entire populations</w:t>
      </w:r>
      <w:r w:rsidR="00703289">
        <w:t xml:space="preserve"> are at </w:t>
      </w:r>
      <w:r w:rsidR="007A1B5B">
        <w:t>risk</w:t>
      </w:r>
      <w:r>
        <w:t xml:space="preserve">. </w:t>
      </w:r>
      <w:r w:rsidR="00703289">
        <w:t>The</w:t>
      </w:r>
      <w:r>
        <w:t xml:space="preserve"> mandates set conditions on boarding a plane or eating in a restaurant.</w:t>
      </w:r>
      <w:r w:rsidR="00347FA3">
        <w:t xml:space="preserve"> In Canada,</w:t>
      </w:r>
      <w:r>
        <w:t xml:space="preserve"> </w:t>
      </w:r>
      <w:r w:rsidR="00347FA3">
        <w:t>n</w:t>
      </w:r>
      <w:r>
        <w:t>o one held us down for the shot.</w:t>
      </w:r>
    </w:p>
    <w:p w14:paraId="3F314AEA" w14:textId="77777777" w:rsidR="00B01F45" w:rsidRPr="00DF4FDA" w:rsidRDefault="00347FA3" w:rsidP="00DF4FDA">
      <w:pPr>
        <w:pStyle w:val="BodyText"/>
        <w:rPr>
          <w:lang w:val="en-CA"/>
        </w:rPr>
      </w:pPr>
      <w:r>
        <w:lastRenderedPageBreak/>
        <w:t>For a time, public health mandates pass the audit. As vaccines arrived and immunity spread, the state’s advantage narrowed. And so did the state’s authority. The public’s understanding also changed and fragmented, even siloed, as the abbreviated social signals of the early pandemic hardened into calcified groups</w:t>
      </w:r>
      <w:r w:rsidR="006C52AF">
        <w:t>. Restrictions eased</w:t>
      </w:r>
      <w:r w:rsidR="00686FC4">
        <w:t xml:space="preserve"> and tightened</w:t>
      </w:r>
      <w:r w:rsidR="006C52AF">
        <w:t xml:space="preserve"> across the country, though not in step. During the Omicron wave, “Saskatchewan and Alberta had a less stringent approach to address the new variant as they began their reopening plans,” while “Ontario also put stricter restrictions in place, with the closure of restaurants and gyms.”</w:t>
      </w:r>
      <w:r>
        <w:rPr>
          <w:rStyle w:val="EndnoteReference"/>
        </w:rPr>
        <w:endnoteReference w:id="14"/>
      </w:r>
      <w:r w:rsidR="00CE38BD">
        <w:t xml:space="preserve"> </w:t>
      </w:r>
      <w:r w:rsidR="00686FC4">
        <w:t>On a directive-by-directive audit, one province may well have been wrong, but we lacked the expertise—or even the decision procedure—to determine which</w:t>
      </w:r>
      <w:r w:rsidR="006C52AF">
        <w:t>. On the audit I have proposed, both could still claim our deference, since neither erred plainly. Protest is a different matter.</w:t>
      </w:r>
    </w:p>
    <w:p w14:paraId="6113D217" w14:textId="77777777" w:rsidR="00D27D6A" w:rsidRDefault="00DF4FDA" w:rsidP="00DF4FDA">
      <w:pPr>
        <w:pStyle w:val="Heading2"/>
      </w:pPr>
      <w:r>
        <w:t>4. Protest and the Limits of Deference</w:t>
      </w:r>
    </w:p>
    <w:p w14:paraId="506FA973" w14:textId="77777777" w:rsidR="00DF4FDA" w:rsidRDefault="00DF4FDA" w:rsidP="00DF4FDA">
      <w:pPr>
        <w:pStyle w:val="BodyText"/>
        <w:ind w:firstLine="0"/>
      </w:pPr>
    </w:p>
    <w:p w14:paraId="66C48C99" w14:textId="4CE5B76F" w:rsidR="00506F84" w:rsidRDefault="00DF4FDA" w:rsidP="0088334C">
      <w:pPr>
        <w:pStyle w:val="BodyText"/>
        <w:ind w:firstLine="0"/>
      </w:pPr>
      <w:r>
        <w:tab/>
      </w:r>
      <w:r w:rsidR="00347FA3">
        <w:t xml:space="preserve">Democratic regimes invite criticisms </w:t>
      </w:r>
      <w:r w:rsidR="00506F84">
        <w:t>by</w:t>
      </w:r>
      <w:r w:rsidR="00347FA3">
        <w:t xml:space="preserve"> their citizens. </w:t>
      </w:r>
      <w:r w:rsidR="003C2F46">
        <w:t xml:space="preserve">Sometimes those criticisms take the form of protest. In Canada, the </w:t>
      </w:r>
      <w:r w:rsidR="003C2F46">
        <w:rPr>
          <w:i/>
          <w:iCs/>
        </w:rPr>
        <w:t xml:space="preserve">Charter of Rights and </w:t>
      </w:r>
      <w:r w:rsidR="003C2F46" w:rsidRPr="003C2F46">
        <w:rPr>
          <w:i/>
          <w:iCs/>
        </w:rPr>
        <w:t>Freedoms</w:t>
      </w:r>
      <w:r w:rsidR="003C2F46">
        <w:t xml:space="preserve"> states plainly that “</w:t>
      </w:r>
      <w:r w:rsidR="005360BC">
        <w:t xml:space="preserve">Everyone has the following fundamental freedoms: … (b) freedom of thought, belief, opinion and expression, including freedom of the press and other media of communication; (c) freedom of peaceful </w:t>
      </w:r>
      <w:r w:rsidR="005A0D0D">
        <w:t>assembly</w:t>
      </w:r>
      <w:r w:rsidR="005360BC">
        <w:t>; and (d) freedom of association.”</w:t>
      </w:r>
      <w:r>
        <w:rPr>
          <w:rStyle w:val="EndnoteReference"/>
        </w:rPr>
        <w:endnoteReference w:id="15"/>
      </w:r>
      <w:r w:rsidR="003C2F46">
        <w:t xml:space="preserve"> </w:t>
      </w:r>
      <w:r w:rsidR="00ED1519">
        <w:t>Within reasonable limits,</w:t>
      </w:r>
      <w:r w:rsidR="00506F84">
        <w:t xml:space="preserve"> one can at once assemble and express their ideas freely in Canada. This aligns with other liberal democracies. </w:t>
      </w:r>
    </w:p>
    <w:p w14:paraId="1D52B209" w14:textId="77777777" w:rsidR="00526671" w:rsidRDefault="003C2F46" w:rsidP="00506F84">
      <w:pPr>
        <w:pStyle w:val="BodyText"/>
      </w:pPr>
      <w:r>
        <w:t>The United States has its First Amendment protections, “the right of the people peaceably to assemble, and to petition the Government for a redress of grievances.”</w:t>
      </w:r>
      <w:r>
        <w:rPr>
          <w:rStyle w:val="EndnoteReference"/>
        </w:rPr>
        <w:endnoteReference w:id="16"/>
      </w:r>
      <w:r w:rsidR="0088334C">
        <w:t xml:space="preserve"> France, too, has its </w:t>
      </w:r>
      <w:proofErr w:type="spellStart"/>
      <w:r w:rsidR="0088334C">
        <w:rPr>
          <w:i/>
          <w:iCs/>
        </w:rPr>
        <w:t>Déclaration</w:t>
      </w:r>
      <w:proofErr w:type="spellEnd"/>
      <w:r w:rsidR="0088334C">
        <w:rPr>
          <w:i/>
          <w:iCs/>
        </w:rPr>
        <w:t xml:space="preserve"> des droits de </w:t>
      </w:r>
      <w:proofErr w:type="spellStart"/>
      <w:r w:rsidR="0088334C">
        <w:rPr>
          <w:i/>
          <w:iCs/>
        </w:rPr>
        <w:t>l’homme</w:t>
      </w:r>
      <w:proofErr w:type="spellEnd"/>
      <w:r w:rsidR="0088334C">
        <w:rPr>
          <w:i/>
          <w:iCs/>
        </w:rPr>
        <w:t xml:space="preserve"> et du </w:t>
      </w:r>
      <w:proofErr w:type="spellStart"/>
      <w:r w:rsidR="0088334C">
        <w:rPr>
          <w:i/>
          <w:iCs/>
        </w:rPr>
        <w:t>citoyen</w:t>
      </w:r>
      <w:proofErr w:type="spellEnd"/>
      <w:r w:rsidR="0088334C">
        <w:t xml:space="preserve"> (1789), </w:t>
      </w:r>
      <w:r w:rsidR="00526671">
        <w:t>arts. 10–11</w:t>
      </w:r>
      <w:r w:rsidR="0088334C">
        <w:t>, which protect freedom of opinion and free communication of ideas.</w:t>
      </w:r>
      <w:r>
        <w:rPr>
          <w:rStyle w:val="EndnoteReference"/>
        </w:rPr>
        <w:endnoteReference w:id="17"/>
      </w:r>
      <w:r>
        <w:t xml:space="preserve"> </w:t>
      </w:r>
      <w:r w:rsidR="00F459CC">
        <w:t>Many l</w:t>
      </w:r>
      <w:r w:rsidR="00506F84">
        <w:t>iberal d</w:t>
      </w:r>
      <w:r w:rsidR="0088334C">
        <w:t xml:space="preserve">emocracies share constitutionally binding provisions that protect the rights of citizens to have themselves heard. We </w:t>
      </w:r>
      <w:r w:rsidR="00506F84">
        <w:t xml:space="preserve">sometimes witness that </w:t>
      </w:r>
      <w:r w:rsidR="00526671">
        <w:t>“</w:t>
      </w:r>
      <w:r w:rsidR="0088334C">
        <w:t>hearing</w:t>
      </w:r>
      <w:r w:rsidR="00526671">
        <w:t>”</w:t>
      </w:r>
      <w:r w:rsidR="0088334C">
        <w:t xml:space="preserve"> </w:t>
      </w:r>
      <w:r w:rsidR="00506F84">
        <w:t>when citizens protest</w:t>
      </w:r>
      <w:r w:rsidR="0088334C">
        <w:t xml:space="preserve">. Canada has had its fair share. </w:t>
      </w:r>
    </w:p>
    <w:p w14:paraId="0884BEB1" w14:textId="77777777" w:rsidR="00DF4FDA" w:rsidRDefault="0088334C" w:rsidP="00526671">
      <w:pPr>
        <w:pStyle w:val="BodyText"/>
      </w:pPr>
      <w:r>
        <w:t xml:space="preserve">In recent years </w:t>
      </w:r>
      <w:r w:rsidR="00AC4BEB">
        <w:t>Canada’s relationship with Indigenous nations, especially over resource development, has been among its most contested questions</w:t>
      </w:r>
      <w:r>
        <w:t xml:space="preserve">. In </w:t>
      </w:r>
      <w:r w:rsidR="0040702A">
        <w:t xml:space="preserve">February 2020, protesters blockaded rail lines across Canada in solidarity with Wet’suwet’en hereditary chiefs opposing a pipeline in northern British Columbia. That June, Alberta passed the </w:t>
      </w:r>
      <w:r w:rsidR="0040702A">
        <w:rPr>
          <w:rStyle w:val="Emphasis"/>
        </w:rPr>
        <w:t>Critical Infrastructure Defence Act</w:t>
      </w:r>
      <w:r w:rsidR="0040702A">
        <w:t>, which provides that “[n]o person shall, without lawful right, justification or excuse, wilfully enter on any essential infrastructure.”</w:t>
      </w:r>
      <w:r>
        <w:rPr>
          <w:rStyle w:val="EndnoteReference"/>
        </w:rPr>
        <w:endnoteReference w:id="18"/>
      </w:r>
      <w:r w:rsidR="0040702A">
        <w:t xml:space="preserve"> The Act defines essential infrastructure broadly, from pipelines and railways to highways and the land around them, and it punishes offences with </w:t>
      </w:r>
      <w:r w:rsidR="0040702A">
        <w:lastRenderedPageBreak/>
        <w:t xml:space="preserve">fines of up to $10,000 for a first offence and $25,000 for later ones, or up to six months in prison. </w:t>
      </w:r>
      <w:r w:rsidR="005360BC">
        <w:t>Each</w:t>
      </w:r>
      <w:r w:rsidR="0040702A">
        <w:t xml:space="preserve"> day an offence continues counts as a separate offence. </w:t>
      </w:r>
    </w:p>
    <w:p w14:paraId="67944159" w14:textId="23BAF3CB" w:rsidR="00530816" w:rsidRDefault="005527C4" w:rsidP="005A6B39">
      <w:pPr>
        <w:pStyle w:val="BodyText"/>
        <w:ind w:firstLine="0"/>
        <w:rPr>
          <w:lang w:val="en-US"/>
        </w:rPr>
      </w:pPr>
      <w:r>
        <w:tab/>
      </w:r>
      <w:r w:rsidR="005A6B39" w:rsidRPr="005A6B39">
        <w:rPr>
          <w:lang w:val="en-US"/>
        </w:rPr>
        <w:t>What reasons applied to citizens here? Citizens have real reason</w:t>
      </w:r>
      <w:r w:rsidR="005A6B39">
        <w:rPr>
          <w:lang w:val="en-US"/>
        </w:rPr>
        <w:t>s</w:t>
      </w:r>
      <w:r w:rsidR="005A6B39" w:rsidRPr="005A6B39">
        <w:rPr>
          <w:lang w:val="en-US"/>
        </w:rPr>
        <w:t xml:space="preserve"> to keep railways running, to keep access to hospitals and essential services unobstructed, and, indeed, to protect the livelihoods of those who depend on that infrastructure. During the rail blockades</w:t>
      </w:r>
      <w:r w:rsidR="00584B18">
        <w:rPr>
          <w:lang w:val="en-US"/>
        </w:rPr>
        <w:t>, passengers and goods were stranded</w:t>
      </w:r>
      <w:r w:rsidR="00F459CC">
        <w:rPr>
          <w:lang w:val="en-US"/>
        </w:rPr>
        <w:t xml:space="preserve">. </w:t>
      </w:r>
      <w:r w:rsidR="00584B18">
        <w:rPr>
          <w:lang w:val="en-US"/>
        </w:rPr>
        <w:t>We</w:t>
      </w:r>
      <w:r w:rsidR="00F459CC">
        <w:rPr>
          <w:lang w:val="en-US"/>
        </w:rPr>
        <w:t xml:space="preserve"> </w:t>
      </w:r>
      <w:r w:rsidR="00584B18">
        <w:rPr>
          <w:lang w:val="en-US"/>
        </w:rPr>
        <w:t>agree that c</w:t>
      </w:r>
      <w:r w:rsidR="005A6B39" w:rsidRPr="005A6B39">
        <w:rPr>
          <w:lang w:val="en-US"/>
        </w:rPr>
        <w:t>itizens also have reason</w:t>
      </w:r>
      <w:r w:rsidR="00584B18">
        <w:rPr>
          <w:lang w:val="en-US"/>
        </w:rPr>
        <w:t>s</w:t>
      </w:r>
      <w:r w:rsidR="005A6B39" w:rsidRPr="005A6B39">
        <w:rPr>
          <w:lang w:val="en-US"/>
        </w:rPr>
        <w:t xml:space="preserve"> to contest policies they believe unjust</w:t>
      </w:r>
      <w:r w:rsidR="00584B18">
        <w:rPr>
          <w:lang w:val="en-US"/>
        </w:rPr>
        <w:t>. Protests are intended to</w:t>
      </w:r>
      <w:r w:rsidR="005A6B39" w:rsidRPr="005A6B39">
        <w:rPr>
          <w:lang w:val="en-US"/>
        </w:rPr>
        <w:t xml:space="preserve"> draw the attention of the wider public and of state officials when ordinary channels </w:t>
      </w:r>
      <w:r w:rsidR="00584B18">
        <w:rPr>
          <w:lang w:val="en-US"/>
        </w:rPr>
        <w:t>seem unavailable</w:t>
      </w:r>
      <w:r w:rsidR="009D6343">
        <w:rPr>
          <w:lang w:val="en-US"/>
        </w:rPr>
        <w:t>—and a rail blockade involves having some threshold of material inconvenience for others and an economic effect as its aim.</w:t>
      </w:r>
      <w:r w:rsidR="005A6B39" w:rsidRPr="005A6B39">
        <w:rPr>
          <w:lang w:val="en-US"/>
        </w:rPr>
        <w:t xml:space="preserve"> Whatever our politics, we </w:t>
      </w:r>
      <w:r w:rsidR="00F459CC">
        <w:rPr>
          <w:lang w:val="en-US"/>
        </w:rPr>
        <w:t xml:space="preserve">may broadly </w:t>
      </w:r>
      <w:r w:rsidR="005A6B39" w:rsidRPr="005A6B39">
        <w:rPr>
          <w:lang w:val="en-US"/>
        </w:rPr>
        <w:t>share</w:t>
      </w:r>
      <w:r w:rsidR="009D6343">
        <w:rPr>
          <w:lang w:val="en-US"/>
        </w:rPr>
        <w:t xml:space="preserve"> with the hereditary chiefs the</w:t>
      </w:r>
      <w:r w:rsidR="005A6B39" w:rsidRPr="005A6B39">
        <w:rPr>
          <w:lang w:val="en-US"/>
        </w:rPr>
        <w:t xml:space="preserve"> view that a democratic state must be held to account. </w:t>
      </w:r>
      <w:r w:rsidR="00F459CC">
        <w:rPr>
          <w:lang w:val="en-US"/>
        </w:rPr>
        <w:t>For the Wet’suwet’en, talks</w:t>
      </w:r>
      <w:r w:rsidR="00584B18">
        <w:rPr>
          <w:lang w:val="en-US"/>
        </w:rPr>
        <w:t xml:space="preserve"> with the province had ended without an agreement. </w:t>
      </w:r>
      <w:r w:rsidR="00F459CC">
        <w:rPr>
          <w:lang w:val="en-US"/>
        </w:rPr>
        <w:t>State e</w:t>
      </w:r>
      <w:r w:rsidR="00584B18">
        <w:rPr>
          <w:lang w:val="en-US"/>
        </w:rPr>
        <w:t>nforcement followed</w:t>
      </w:r>
      <w:r w:rsidR="005A6B39" w:rsidRPr="005A6B39">
        <w:rPr>
          <w:lang w:val="en-US"/>
        </w:rPr>
        <w:t>.</w:t>
      </w:r>
      <w:r>
        <w:rPr>
          <w:rStyle w:val="EndnoteReference"/>
        </w:rPr>
        <w:endnoteReference w:id="19"/>
      </w:r>
      <w:r w:rsidR="005A6B39" w:rsidRPr="005A6B39">
        <w:rPr>
          <w:lang w:val="en-US"/>
        </w:rPr>
        <w:t xml:space="preserve"> </w:t>
      </w:r>
      <w:r w:rsidR="0028539B">
        <w:rPr>
          <w:lang w:val="en-US"/>
        </w:rPr>
        <w:t xml:space="preserve">Regardless of what we believe to </w:t>
      </w:r>
      <w:r w:rsidR="005A0D0D">
        <w:rPr>
          <w:lang w:val="en-US"/>
        </w:rPr>
        <w:t>be the</w:t>
      </w:r>
      <w:r w:rsidR="0028539B">
        <w:rPr>
          <w:lang w:val="en-US"/>
        </w:rPr>
        <w:t xml:space="preserve"> right reasons, both sets</w:t>
      </w:r>
      <w:r w:rsidR="005A6B39" w:rsidRPr="005A6B39">
        <w:rPr>
          <w:lang w:val="en-US"/>
        </w:rPr>
        <w:t xml:space="preserve"> of reasons are </w:t>
      </w:r>
      <w:r w:rsidR="005A6B39" w:rsidRPr="009D6343">
        <w:rPr>
          <w:i/>
          <w:iCs/>
          <w:lang w:val="en-US"/>
        </w:rPr>
        <w:t>real</w:t>
      </w:r>
      <w:r w:rsidR="005A6B39" w:rsidRPr="005A6B39">
        <w:rPr>
          <w:lang w:val="en-US"/>
        </w:rPr>
        <w:t>; the question is whether deferring to the state helps us weigh them.</w:t>
      </w:r>
      <w:r>
        <w:rPr>
          <w:rStyle w:val="EndnoteReference"/>
        </w:rPr>
        <w:endnoteReference w:id="20"/>
      </w:r>
    </w:p>
    <w:p w14:paraId="3D9BE440" w14:textId="77777777" w:rsidR="00196780" w:rsidRDefault="00AB47A6" w:rsidP="00AB47A6">
      <w:pPr>
        <w:pStyle w:val="BodyText"/>
      </w:pPr>
      <w:r>
        <w:t xml:space="preserve">The physician analogy that started this work now fails. There is no curve to read that requires scientific expertise. The question of whether we dissent or accept is not a technical, mathematical question. We are all well placed to judge </w:t>
      </w:r>
      <w:r w:rsidR="00CE38BD">
        <w:t>whether a</w:t>
      </w:r>
      <w:r>
        <w:t xml:space="preserve"> grievance</w:t>
      </w:r>
      <w:r w:rsidR="00CE38BD">
        <w:t xml:space="preserve"> warrants protest</w:t>
      </w:r>
      <w:r>
        <w:t xml:space="preserve">. </w:t>
      </w:r>
      <w:r w:rsidR="0011569F">
        <w:t xml:space="preserve">Of course, protest is also paradigmatic of democratic norms; what we say in public to press the reasons we have, whether in concert with or in tension with the state’s goals, is an expectation of our political arrangement, not a surprising anomaly. </w:t>
      </w:r>
      <w:r w:rsidRPr="00AB47A6">
        <w:rPr>
          <w:rStyle w:val="Strong"/>
          <w:b w:val="0"/>
          <w:bCs w:val="0"/>
        </w:rPr>
        <w:t>It is, in Raz’s terms, a matter on which it is better that we decide for ourselves.</w:t>
      </w:r>
      <w:r>
        <w:t xml:space="preserve"> How the state responds</w:t>
      </w:r>
      <w:r w:rsidR="00CE38BD">
        <w:t xml:space="preserve"> </w:t>
      </w:r>
      <w:proofErr w:type="gramStart"/>
      <w:r w:rsidR="00CE38BD">
        <w:t>is</w:t>
      </w:r>
      <w:proofErr w:type="gramEnd"/>
      <w:r w:rsidR="00CE38BD">
        <w:t xml:space="preserve"> itself evidence that</w:t>
      </w:r>
      <w:r>
        <w:t xml:space="preserve"> test</w:t>
      </w:r>
      <w:r w:rsidR="0011569F">
        <w:t>s</w:t>
      </w:r>
      <w:r>
        <w:t xml:space="preserve"> </w:t>
      </w:r>
      <w:r w:rsidR="0011569F">
        <w:t>the state</w:t>
      </w:r>
      <w:r>
        <w:t xml:space="preserve">, helping us assess whether </w:t>
      </w:r>
      <w:r w:rsidR="0011569F">
        <w:t xml:space="preserve">it </w:t>
      </w:r>
      <w:r>
        <w:t xml:space="preserve">deserves our deference at all. </w:t>
      </w:r>
      <w:r w:rsidR="00CE38BD">
        <w:t>So,</w:t>
      </w:r>
      <w:r>
        <w:t xml:space="preserve"> a law that asks us to stop deliberating about whether to protest asks for deference on the very question in dispute. </w:t>
      </w:r>
      <w:r w:rsidR="0011569F">
        <w:t>Nothing here endorses harm to others, and protest can cause unintended harms of the kind both protesters and state reject.</w:t>
      </w:r>
      <w:r>
        <w:t xml:space="preserve"> A narrow rule that keeps an ambulance route open may well pass the audit</w:t>
      </w:r>
      <w:r w:rsidR="00CE38BD">
        <w:t xml:space="preserve">. </w:t>
      </w:r>
      <w:r>
        <w:t>A law that treats every unauthorized step onto “essential infrastructure” as an offence does not.</w:t>
      </w:r>
    </w:p>
    <w:p w14:paraId="20903AD3" w14:textId="77777777" w:rsidR="00AB47A6" w:rsidRDefault="007C6F8F" w:rsidP="007C6F8F">
      <w:pPr>
        <w:pStyle w:val="BodyText"/>
      </w:pPr>
      <w:r>
        <w:t xml:space="preserve">Broad restrictions on protest fail the audit. Laws bind us legally, and we are subject to their force when we violate them. The </w:t>
      </w:r>
      <w:r>
        <w:rPr>
          <w:rStyle w:val="Emphasis"/>
        </w:rPr>
        <w:t>Critical Infrastructure Defence Act</w:t>
      </w:r>
      <w:r>
        <w:t xml:space="preserve"> tells citizens what authority the state is claiming over protest: contravening it means fines and even imprisonment. This gives protesters an understanding of the consequences, but it fails to settle whether they should protest. The state has not given them a reason to defer to it on that consequential question. </w:t>
      </w:r>
      <w:r>
        <w:lastRenderedPageBreak/>
        <w:t>In such circumstances the state retains its legal power, but that power has outlasted its moral authority over citizens’ reasons to protest.</w:t>
      </w:r>
    </w:p>
    <w:p w14:paraId="582D86BE" w14:textId="77777777" w:rsidR="004E62A9" w:rsidRDefault="00C8116C" w:rsidP="004E62A9">
      <w:pPr>
        <w:pStyle w:val="BodyText"/>
      </w:pPr>
      <w:r>
        <w:t>During the pandemic, deferring helped us act on reasons we couldn’t act on alone. In the case of protest, deferring would be self-defeating, since protest is itself an audit of state policy. The hereditary chiefs, and those who blockaded in solidarity, had in effect concluded that the state failed that audit.</w:t>
      </w:r>
      <w:r w:rsidR="004E62A9">
        <w:t xml:space="preserve"> Quebec’s Bill 21 presents a special challenge for deference.</w:t>
      </w:r>
    </w:p>
    <w:p w14:paraId="65971BE9" w14:textId="77777777" w:rsidR="004E62A9" w:rsidRDefault="004E62A9" w:rsidP="004E62A9">
      <w:pPr>
        <w:pStyle w:val="Heading2"/>
      </w:pPr>
      <w:r>
        <w:t>5. Quebec’s Bill 21</w:t>
      </w:r>
    </w:p>
    <w:p w14:paraId="7116A145" w14:textId="77777777" w:rsidR="004E62A9" w:rsidRPr="004E62A9" w:rsidRDefault="004E62A9" w:rsidP="004E62A9">
      <w:pPr>
        <w:pStyle w:val="BodyText"/>
      </w:pPr>
    </w:p>
    <w:p w14:paraId="0C35B5ED" w14:textId="77777777" w:rsidR="00EE45C7" w:rsidRDefault="00CF3C8C" w:rsidP="00EE45C7">
      <w:pPr>
        <w:pStyle w:val="BodyText"/>
      </w:pPr>
      <w:r>
        <w:t xml:space="preserve">In 2019 Quebec passed the </w:t>
      </w:r>
      <w:r>
        <w:rPr>
          <w:i/>
          <w:iCs/>
        </w:rPr>
        <w:t>Act respecting</w:t>
      </w:r>
      <w:r w:rsidR="00D44010">
        <w:rPr>
          <w:i/>
          <w:iCs/>
        </w:rPr>
        <w:t xml:space="preserve"> the</w:t>
      </w:r>
      <w:r>
        <w:rPr>
          <w:i/>
          <w:iCs/>
        </w:rPr>
        <w:t xml:space="preserve"> laicity of the </w:t>
      </w:r>
      <w:r w:rsidRPr="00CF3C8C">
        <w:rPr>
          <w:i/>
          <w:iCs/>
        </w:rPr>
        <w:t>State</w:t>
      </w:r>
      <w:r>
        <w:t xml:space="preserve">. The purpose of the Bill, as stated </w:t>
      </w:r>
      <w:r w:rsidR="00D44010">
        <w:t>in the bill’s explanatory notes</w:t>
      </w:r>
      <w:r>
        <w:t>, is “</w:t>
      </w:r>
      <w:r w:rsidR="00503E8A">
        <w:t>to affirm the laicity of the State and to set out the requirements that follow from it.”</w:t>
      </w:r>
      <w:r>
        <w:rPr>
          <w:rStyle w:val="EndnoteReference"/>
        </w:rPr>
        <w:endnoteReference w:id="21"/>
      </w:r>
      <w:r w:rsidR="00503E8A">
        <w:t xml:space="preserve"> It lists four principles: “the separation of State and religions, the religious neutrality of the State, the equality of all citizens, and the freedom of conscience and freedom of religion.”</w:t>
      </w:r>
      <w:r>
        <w:rPr>
          <w:rStyle w:val="EndnoteReference"/>
        </w:rPr>
        <w:endnoteReference w:id="22"/>
      </w:r>
      <w:r>
        <w:t xml:space="preserve"> The Act bars </w:t>
      </w:r>
      <w:r w:rsidR="00D44010">
        <w:t xml:space="preserve">many </w:t>
      </w:r>
      <w:r>
        <w:t>public employees</w:t>
      </w:r>
      <w:r w:rsidR="00D44010">
        <w:t xml:space="preserve">, including teachers, police, judges and </w:t>
      </w:r>
      <w:r w:rsidR="00EE45C7">
        <w:t>Crown</w:t>
      </w:r>
      <w:r w:rsidR="00575C38">
        <w:t xml:space="preserve"> prosecutors</w:t>
      </w:r>
      <w:r w:rsidR="00D44010">
        <w:t xml:space="preserve">, </w:t>
      </w:r>
      <w:r>
        <w:t>from wearing religious symbols at work. The law is neutral on its face</w:t>
      </w:r>
      <w:r w:rsidR="00B12F8E">
        <w:t xml:space="preserve">, </w:t>
      </w:r>
      <w:proofErr w:type="gramStart"/>
      <w:r w:rsidR="00B12F8E">
        <w:t>cross-cutting</w:t>
      </w:r>
      <w:proofErr w:type="gramEnd"/>
      <w:r w:rsidR="00B12F8E">
        <w:t xml:space="preserve"> its prohibition across many religious communities;</w:t>
      </w:r>
      <w:r>
        <w:t xml:space="preserve"> it includes kippahs, turbans and crosses. However, </w:t>
      </w:r>
      <w:r w:rsidR="00EE45C7">
        <w:t xml:space="preserve">the </w:t>
      </w:r>
      <w:r w:rsidR="00D44010">
        <w:t xml:space="preserve">law </w:t>
      </w:r>
      <w:r>
        <w:t>falls hardest on Muslim women.</w:t>
      </w:r>
      <w:r>
        <w:rPr>
          <w:rStyle w:val="EndnoteReference"/>
        </w:rPr>
        <w:endnoteReference w:id="23"/>
      </w:r>
      <w:r>
        <w:t xml:space="preserve"> </w:t>
      </w:r>
      <w:r w:rsidR="00575C38">
        <w:t>The</w:t>
      </w:r>
      <w:r w:rsidR="00EE45C7">
        <w:t xml:space="preserve"> Act declares that it operates notwithstanding ss. 2 and 7</w:t>
      </w:r>
      <w:r w:rsidR="0070119A">
        <w:t>–</w:t>
      </w:r>
      <w:r w:rsidR="00575C38">
        <w:t>15 of</w:t>
      </w:r>
      <w:r w:rsidR="00EE45C7">
        <w:t xml:space="preserve"> the Charter.</w:t>
      </w:r>
      <w:r>
        <w:rPr>
          <w:rStyle w:val="EndnoteReference"/>
        </w:rPr>
        <w:endnoteReference w:id="24"/>
      </w:r>
      <w:r w:rsidR="00EE45C7">
        <w:t xml:space="preserve"> Quebec renewed the override in 2024.</w:t>
      </w:r>
      <w:r>
        <w:rPr>
          <w:rStyle w:val="EndnoteReference"/>
        </w:rPr>
        <w:endnoteReference w:id="25"/>
      </w:r>
      <w:r w:rsidR="00EE45C7">
        <w:t xml:space="preserve"> In March 2026 the Supreme Court heard the challenge and has reserved judgment.</w:t>
      </w:r>
      <w:r>
        <w:rPr>
          <w:rStyle w:val="EndnoteReference"/>
        </w:rPr>
        <w:endnoteReference w:id="26"/>
      </w:r>
      <w:r w:rsidR="00EE45C7">
        <w:t xml:space="preserve"> </w:t>
      </w:r>
    </w:p>
    <w:p w14:paraId="0391011F" w14:textId="77777777" w:rsidR="00A908F8" w:rsidRPr="00A908F8" w:rsidRDefault="00A908F8" w:rsidP="00A908F8">
      <w:pPr>
        <w:pStyle w:val="BodyText"/>
        <w:rPr>
          <w:lang w:val="en-CA"/>
        </w:rPr>
      </w:pPr>
      <w:r w:rsidRPr="00A908F8">
        <w:rPr>
          <w:lang w:val="en-CA"/>
        </w:rPr>
        <w:t xml:space="preserve">One can reasonably understand the state’s justification for restricting protest, say, public safety, or the protection of costly vital infrastructure. Protesters weighed reasons that apply to them against the state’s reasons and decided against deference. </w:t>
      </w:r>
      <w:r w:rsidR="00C63CF0">
        <w:rPr>
          <w:lang w:val="en-CA"/>
        </w:rPr>
        <w:t>The state</w:t>
      </w:r>
      <w:r w:rsidR="00CF192C">
        <w:rPr>
          <w:lang w:val="en-CA"/>
        </w:rPr>
        <w:t xml:space="preserve"> </w:t>
      </w:r>
      <w:r w:rsidR="00C63CF0">
        <w:rPr>
          <w:lang w:val="en-CA"/>
        </w:rPr>
        <w:t>had a</w:t>
      </w:r>
      <w:r w:rsidR="00CF192C">
        <w:rPr>
          <w:lang w:val="en-CA"/>
        </w:rPr>
        <w:t xml:space="preserve"> clear</w:t>
      </w:r>
      <w:r>
        <w:rPr>
          <w:lang w:val="en-CA"/>
        </w:rPr>
        <w:t xml:space="preserve"> epistemic</w:t>
      </w:r>
      <w:r w:rsidRPr="00A908F8">
        <w:rPr>
          <w:lang w:val="en-CA"/>
        </w:rPr>
        <w:t xml:space="preserve"> advantage in the case of pandemic restrictions, </w:t>
      </w:r>
      <w:r>
        <w:rPr>
          <w:lang w:val="en-CA"/>
        </w:rPr>
        <w:t>but</w:t>
      </w:r>
      <w:r w:rsidRPr="00A908F8">
        <w:rPr>
          <w:lang w:val="en-CA"/>
        </w:rPr>
        <w:t xml:space="preserve"> less so for restricting protest even though one can concede some room for economic and public safety reasons that protesters may not be fully aware of.</w:t>
      </w:r>
      <w:r w:rsidR="00CF192C">
        <w:rPr>
          <w:lang w:val="en-CA"/>
        </w:rPr>
        <w:t xml:space="preserve"> Still, the protest dispute involves weighing reasons both sides understand.</w:t>
      </w:r>
    </w:p>
    <w:p w14:paraId="6CE4A254" w14:textId="77777777" w:rsidR="00A908F8" w:rsidRPr="00A908F8" w:rsidRDefault="00A908F8" w:rsidP="00A908F8">
      <w:pPr>
        <w:pStyle w:val="BodyText"/>
        <w:rPr>
          <w:lang w:val="en-CA"/>
        </w:rPr>
      </w:pPr>
      <w:r w:rsidRPr="00A908F8">
        <w:rPr>
          <w:lang w:val="en-CA"/>
        </w:rPr>
        <w:t>Bill 21 presents a different challenge since the matter at stake</w:t>
      </w:r>
      <w:r w:rsidR="00C63CF0">
        <w:rPr>
          <w:lang w:val="en-CA"/>
        </w:rPr>
        <w:t xml:space="preserve"> is of a different kind and it</w:t>
      </w:r>
      <w:r w:rsidRPr="00A908F8">
        <w:rPr>
          <w:lang w:val="en-CA"/>
        </w:rPr>
        <w:t xml:space="preserve"> isn’t the </w:t>
      </w:r>
      <w:proofErr w:type="gramStart"/>
      <w:r w:rsidRPr="00A908F8">
        <w:rPr>
          <w:lang w:val="en-CA"/>
        </w:rPr>
        <w:t>state’s</w:t>
      </w:r>
      <w:proofErr w:type="gramEnd"/>
      <w:r w:rsidRPr="00A908F8">
        <w:rPr>
          <w:lang w:val="en-CA"/>
        </w:rPr>
        <w:t xml:space="preserve"> to decide at all. </w:t>
      </w:r>
      <w:r w:rsidR="00C63CF0">
        <w:rPr>
          <w:lang w:val="en-CA"/>
        </w:rPr>
        <w:t>Here, the</w:t>
      </w:r>
      <w:r w:rsidRPr="00A908F8">
        <w:rPr>
          <w:lang w:val="en-CA"/>
        </w:rPr>
        <w:t xml:space="preserve"> state understands that some Muslim women choose to wear a hijab (or </w:t>
      </w:r>
      <w:r w:rsidR="00C63CF0">
        <w:rPr>
          <w:lang w:val="en-CA"/>
        </w:rPr>
        <w:t>head</w:t>
      </w:r>
      <w:r w:rsidR="00CF192C">
        <w:rPr>
          <w:lang w:val="en-CA"/>
        </w:rPr>
        <w:t xml:space="preserve"> </w:t>
      </w:r>
      <w:r w:rsidR="00C63CF0">
        <w:rPr>
          <w:lang w:val="en-CA"/>
        </w:rPr>
        <w:t>covering</w:t>
      </w:r>
      <w:r w:rsidRPr="00A908F8">
        <w:rPr>
          <w:lang w:val="en-CA"/>
        </w:rPr>
        <w:t xml:space="preserve">). There are religious symbols for other faiths, and even for Muslims there are different kinds of head covering. Quebec simply doesn’t treat the reasons for wearing religious </w:t>
      </w:r>
      <w:r>
        <w:rPr>
          <w:lang w:val="en-CA"/>
        </w:rPr>
        <w:t>symbols</w:t>
      </w:r>
      <w:r w:rsidRPr="00A908F8">
        <w:rPr>
          <w:lang w:val="en-CA"/>
        </w:rPr>
        <w:t xml:space="preserve"> as overriding</w:t>
      </w:r>
      <w:r w:rsidR="00C63CF0">
        <w:rPr>
          <w:lang w:val="en-CA"/>
        </w:rPr>
        <w:t xml:space="preserve"> </w:t>
      </w:r>
      <w:r w:rsidR="00CF192C">
        <w:rPr>
          <w:lang w:val="en-CA"/>
        </w:rPr>
        <w:t>its</w:t>
      </w:r>
      <w:r w:rsidR="00C63CF0">
        <w:rPr>
          <w:lang w:val="en-CA"/>
        </w:rPr>
        <w:t xml:space="preserve"> reasons for the </w:t>
      </w:r>
      <w:r w:rsidR="00C63CF0">
        <w:t>laicity</w:t>
      </w:r>
      <w:r w:rsidR="00C63CF0">
        <w:rPr>
          <w:lang w:val="en-CA"/>
        </w:rPr>
        <w:t xml:space="preserve"> of the state</w:t>
      </w:r>
      <w:r w:rsidRPr="00A908F8">
        <w:rPr>
          <w:lang w:val="en-CA"/>
        </w:rPr>
        <w:t>.</w:t>
      </w:r>
    </w:p>
    <w:p w14:paraId="1A3466D4" w14:textId="77777777" w:rsidR="00D30A7D" w:rsidRDefault="00DA7D4A" w:rsidP="00A908F8">
      <w:pPr>
        <w:pStyle w:val="BodyText"/>
        <w:rPr>
          <w:lang w:val="en-CA"/>
        </w:rPr>
      </w:pPr>
      <w:r>
        <w:rPr>
          <w:lang w:val="en-CA"/>
        </w:rPr>
        <w:t>Quebec’s</w:t>
      </w:r>
      <w:r w:rsidR="00C63CF0">
        <w:rPr>
          <w:lang w:val="en-CA"/>
        </w:rPr>
        <w:t xml:space="preserve"> commitment to secularism</w:t>
      </w:r>
      <w:r>
        <w:rPr>
          <w:lang w:val="en-CA"/>
        </w:rPr>
        <w:t xml:space="preserve"> </w:t>
      </w:r>
      <w:r w:rsidR="00C63CF0">
        <w:rPr>
          <w:lang w:val="en-CA"/>
        </w:rPr>
        <w:t>is cashe</w:t>
      </w:r>
      <w:r w:rsidR="00DE193F">
        <w:rPr>
          <w:lang w:val="en-CA"/>
        </w:rPr>
        <w:t>d</w:t>
      </w:r>
      <w:r w:rsidR="00C63CF0">
        <w:rPr>
          <w:lang w:val="en-CA"/>
        </w:rPr>
        <w:t xml:space="preserve"> out </w:t>
      </w:r>
      <w:r w:rsidR="00DE193F">
        <w:rPr>
          <w:lang w:val="en-CA"/>
        </w:rPr>
        <w:t>as state</w:t>
      </w:r>
      <w:r w:rsidR="00C63CF0">
        <w:rPr>
          <w:lang w:val="en-CA"/>
        </w:rPr>
        <w:t xml:space="preserve"> neutrality </w:t>
      </w:r>
      <w:r w:rsidR="00DE193F">
        <w:rPr>
          <w:lang w:val="en-CA"/>
        </w:rPr>
        <w:t xml:space="preserve">for </w:t>
      </w:r>
      <w:r w:rsidR="00CF192C">
        <w:rPr>
          <w:lang w:val="en-CA"/>
        </w:rPr>
        <w:t>public</w:t>
      </w:r>
      <w:r w:rsidR="00C63CF0">
        <w:rPr>
          <w:lang w:val="en-CA"/>
        </w:rPr>
        <w:t xml:space="preserve"> servants</w:t>
      </w:r>
      <w:r w:rsidR="00DE193F">
        <w:rPr>
          <w:lang w:val="en-CA"/>
        </w:rPr>
        <w:t xml:space="preserve"> </w:t>
      </w:r>
      <w:r w:rsidR="00CF192C">
        <w:rPr>
          <w:lang w:val="en-CA"/>
        </w:rPr>
        <w:t>acting on</w:t>
      </w:r>
      <w:r w:rsidR="008F6BD7">
        <w:rPr>
          <w:lang w:val="en-CA"/>
        </w:rPr>
        <w:t xml:space="preserve"> its</w:t>
      </w:r>
      <w:r w:rsidR="00CF192C">
        <w:rPr>
          <w:lang w:val="en-CA"/>
        </w:rPr>
        <w:t xml:space="preserve"> behalf. The prohibition on religious symbols confuses the kind of neutrality the state</w:t>
      </w:r>
      <w:r w:rsidR="008F6BD7">
        <w:rPr>
          <w:lang w:val="en-CA"/>
        </w:rPr>
        <w:t xml:space="preserve"> </w:t>
      </w:r>
      <w:r w:rsidR="008F6BD7">
        <w:rPr>
          <w:lang w:val="en-CA"/>
        </w:rPr>
        <w:lastRenderedPageBreak/>
        <w:t>may be justified in requiring</w:t>
      </w:r>
      <w:r w:rsidR="00CF192C">
        <w:rPr>
          <w:lang w:val="en-CA"/>
        </w:rPr>
        <w:t xml:space="preserve"> with </w:t>
      </w:r>
      <w:r w:rsidR="008F6BD7">
        <w:rPr>
          <w:lang w:val="en-CA"/>
        </w:rPr>
        <w:t>what kind of citizen can be its best representative</w:t>
      </w:r>
      <w:r w:rsidR="0070508C">
        <w:rPr>
          <w:lang w:val="en-CA"/>
        </w:rPr>
        <w:t xml:space="preserve">. The Government of Quebec’s reasons amount </w:t>
      </w:r>
      <w:r>
        <w:rPr>
          <w:lang w:val="en-CA"/>
        </w:rPr>
        <w:t xml:space="preserve">to </w:t>
      </w:r>
      <w:r w:rsidR="0070508C">
        <w:rPr>
          <w:lang w:val="en-CA"/>
        </w:rPr>
        <w:t xml:space="preserve">an </w:t>
      </w:r>
      <w:r w:rsidR="00706603">
        <w:rPr>
          <w:lang w:val="en-CA"/>
        </w:rPr>
        <w:t>enforced</w:t>
      </w:r>
      <w:r w:rsidR="00C63CF0">
        <w:rPr>
          <w:lang w:val="en-CA"/>
        </w:rPr>
        <w:t xml:space="preserve"> impartiality</w:t>
      </w:r>
      <w:r w:rsidR="0070508C">
        <w:rPr>
          <w:lang w:val="en-CA"/>
        </w:rPr>
        <w:t xml:space="preserve"> of representation</w:t>
      </w:r>
      <w:r w:rsidR="00C63CF0">
        <w:rPr>
          <w:lang w:val="en-CA"/>
        </w:rPr>
        <w:t xml:space="preserve"> for those in certain </w:t>
      </w:r>
      <w:r>
        <w:rPr>
          <w:lang w:val="en-CA"/>
        </w:rPr>
        <w:t xml:space="preserve">public </w:t>
      </w:r>
      <w:r w:rsidR="00DE193F">
        <w:rPr>
          <w:lang w:val="en-CA"/>
        </w:rPr>
        <w:t>offices</w:t>
      </w:r>
      <w:r w:rsidR="00C63CF0">
        <w:rPr>
          <w:lang w:val="en-CA"/>
        </w:rPr>
        <w:t>.</w:t>
      </w:r>
      <w:r w:rsidR="00A908F8" w:rsidRPr="00A908F8">
        <w:rPr>
          <w:lang w:val="en-CA"/>
        </w:rPr>
        <w:t xml:space="preserve"> </w:t>
      </w:r>
      <w:r w:rsidR="0070508C">
        <w:rPr>
          <w:lang w:val="en-CA"/>
        </w:rPr>
        <w:t>By confusing neutral acts with representation</w:t>
      </w:r>
      <w:r w:rsidR="00310647">
        <w:rPr>
          <w:lang w:val="en-CA"/>
        </w:rPr>
        <w:t>,</w:t>
      </w:r>
      <w:r w:rsidR="00DE193F">
        <w:rPr>
          <w:lang w:val="en-CA"/>
        </w:rPr>
        <w:t xml:space="preserve"> </w:t>
      </w:r>
      <w:r w:rsidR="00310647">
        <w:rPr>
          <w:lang w:val="en-CA"/>
        </w:rPr>
        <w:t xml:space="preserve">the </w:t>
      </w:r>
      <w:r w:rsidR="00310647" w:rsidRPr="00A908F8">
        <w:rPr>
          <w:lang w:val="en-CA"/>
        </w:rPr>
        <w:t>state’s</w:t>
      </w:r>
      <w:r w:rsidR="00A908F8" w:rsidRPr="00A908F8">
        <w:rPr>
          <w:lang w:val="en-CA"/>
        </w:rPr>
        <w:t xml:space="preserve"> request</w:t>
      </w:r>
      <w:r w:rsidR="00DE193F">
        <w:rPr>
          <w:lang w:val="en-CA"/>
        </w:rPr>
        <w:t xml:space="preserve"> for </w:t>
      </w:r>
      <w:r w:rsidR="00A908F8" w:rsidRPr="00A908F8">
        <w:rPr>
          <w:lang w:val="en-CA"/>
        </w:rPr>
        <w:t xml:space="preserve">deference </w:t>
      </w:r>
      <w:r w:rsidR="0070508C">
        <w:rPr>
          <w:lang w:val="en-CA"/>
        </w:rPr>
        <w:t>shifts</w:t>
      </w:r>
      <w:r w:rsidR="00A908F8" w:rsidRPr="00A908F8">
        <w:rPr>
          <w:lang w:val="en-CA"/>
        </w:rPr>
        <w:t xml:space="preserve"> squarely </w:t>
      </w:r>
      <w:r w:rsidR="0070508C">
        <w:rPr>
          <w:lang w:val="en-CA"/>
        </w:rPr>
        <w:t>to</w:t>
      </w:r>
      <w:r w:rsidR="0070508C" w:rsidRPr="00A908F8">
        <w:rPr>
          <w:lang w:val="en-CA"/>
        </w:rPr>
        <w:t xml:space="preserve"> </w:t>
      </w:r>
      <w:r w:rsidR="00A908F8" w:rsidRPr="00A908F8">
        <w:rPr>
          <w:lang w:val="en-CA"/>
        </w:rPr>
        <w:t>the independence condition</w:t>
      </w:r>
      <w:r w:rsidR="0070508C">
        <w:rPr>
          <w:lang w:val="en-CA"/>
        </w:rPr>
        <w:t xml:space="preserve"> where t</w:t>
      </w:r>
      <w:r w:rsidR="00DE193F">
        <w:rPr>
          <w:lang w:val="en-CA"/>
        </w:rPr>
        <w:t xml:space="preserve">he state </w:t>
      </w:r>
      <w:r w:rsidR="0070508C">
        <w:rPr>
          <w:lang w:val="en-CA"/>
        </w:rPr>
        <w:t>clearly</w:t>
      </w:r>
      <w:r>
        <w:rPr>
          <w:lang w:val="en-CA"/>
        </w:rPr>
        <w:t xml:space="preserve"> has</w:t>
      </w:r>
      <w:r w:rsidR="0070508C">
        <w:rPr>
          <w:lang w:val="en-CA"/>
        </w:rPr>
        <w:t xml:space="preserve"> </w:t>
      </w:r>
      <w:r w:rsidR="00A908F8" w:rsidRPr="00A908F8">
        <w:rPr>
          <w:lang w:val="en-CA"/>
        </w:rPr>
        <w:t xml:space="preserve">no epistemic advantage to offer. </w:t>
      </w:r>
      <w:r w:rsidR="0070508C">
        <w:rPr>
          <w:lang w:val="en-CA"/>
        </w:rPr>
        <w:t>The confusion notwithstanding, the case o</w:t>
      </w:r>
      <w:r w:rsidR="008F6BD7">
        <w:rPr>
          <w:lang w:val="en-CA"/>
        </w:rPr>
        <w:t>f</w:t>
      </w:r>
      <w:r w:rsidR="0070508C">
        <w:rPr>
          <w:lang w:val="en-CA"/>
        </w:rPr>
        <w:t xml:space="preserve"> judges and Crown </w:t>
      </w:r>
      <w:r>
        <w:t xml:space="preserve">prosecutors </w:t>
      </w:r>
      <w:r w:rsidR="0070508C">
        <w:rPr>
          <w:lang w:val="en-CA"/>
        </w:rPr>
        <w:t xml:space="preserve">may be strongest, but it still suffers from </w:t>
      </w:r>
      <w:r w:rsidR="008F6BD7">
        <w:rPr>
          <w:lang w:val="en-CA"/>
        </w:rPr>
        <w:t>this</w:t>
      </w:r>
      <w:r w:rsidR="0070508C">
        <w:rPr>
          <w:lang w:val="en-CA"/>
        </w:rPr>
        <w:t xml:space="preserve"> identified vulnerability</w:t>
      </w:r>
      <w:r w:rsidR="008F6BD7">
        <w:rPr>
          <w:lang w:val="en-CA"/>
        </w:rPr>
        <w:t>, conflating acts with representation.</w:t>
      </w:r>
      <w:r w:rsidR="00D30A7D">
        <w:rPr>
          <w:lang w:val="en-CA"/>
        </w:rPr>
        <w:t xml:space="preserve"> </w:t>
      </w:r>
      <w:r w:rsidR="00D30A7D">
        <w:t>And the Act reaches well beyond them, to teachers.</w:t>
      </w:r>
      <w:r w:rsidR="0070508C">
        <w:rPr>
          <w:lang w:val="en-CA"/>
        </w:rPr>
        <w:t xml:space="preserve"> </w:t>
      </w:r>
    </w:p>
    <w:p w14:paraId="6759A5A9" w14:textId="77777777" w:rsidR="00A908F8" w:rsidRPr="00A908F8" w:rsidRDefault="00DA7D4A" w:rsidP="00A908F8">
      <w:pPr>
        <w:pStyle w:val="BodyText"/>
        <w:rPr>
          <w:lang w:val="en-CA"/>
        </w:rPr>
      </w:pPr>
      <w:r>
        <w:rPr>
          <w:lang w:val="en-CA"/>
        </w:rPr>
        <w:t xml:space="preserve">On one common reading, </w:t>
      </w:r>
      <w:r w:rsidR="00706603">
        <w:rPr>
          <w:lang w:val="en-CA"/>
        </w:rPr>
        <w:t xml:space="preserve">Bill 21 </w:t>
      </w:r>
      <w:r>
        <w:rPr>
          <w:lang w:val="en-CA"/>
        </w:rPr>
        <w:t xml:space="preserve">can be understood </w:t>
      </w:r>
      <w:r w:rsidR="00A908F8" w:rsidRPr="00A908F8">
        <w:rPr>
          <w:lang w:val="en-CA"/>
        </w:rPr>
        <w:t>as contravening something deep and abiding about religious expression itself.</w:t>
      </w:r>
      <w:r w:rsidR="0070508C">
        <w:rPr>
          <w:lang w:val="en-CA"/>
        </w:rPr>
        <w:t xml:space="preserve"> </w:t>
      </w:r>
      <w:r w:rsidR="00A908F8" w:rsidRPr="00A908F8">
        <w:rPr>
          <w:lang w:val="en-CA"/>
        </w:rPr>
        <w:t>The independence condition</w:t>
      </w:r>
      <w:r w:rsidR="00706603">
        <w:rPr>
          <w:lang w:val="en-CA"/>
        </w:rPr>
        <w:t xml:space="preserve"> ensures that </w:t>
      </w:r>
      <w:r w:rsidR="00A908F8" w:rsidRPr="00A908F8">
        <w:rPr>
          <w:lang w:val="en-CA"/>
        </w:rPr>
        <w:t>decision</w:t>
      </w:r>
      <w:r w:rsidR="00706603">
        <w:rPr>
          <w:lang w:val="en-CA"/>
        </w:rPr>
        <w:t>s of this kind are left</w:t>
      </w:r>
      <w:r w:rsidR="00A908F8" w:rsidRPr="00A908F8">
        <w:rPr>
          <w:lang w:val="en-CA"/>
        </w:rPr>
        <w:t xml:space="preserve"> to citizens</w:t>
      </w:r>
      <w:r w:rsidR="008F6BD7">
        <w:rPr>
          <w:lang w:val="en-CA"/>
        </w:rPr>
        <w:t xml:space="preserve"> themselves</w:t>
      </w:r>
      <w:r w:rsidR="00A908F8" w:rsidRPr="00A908F8">
        <w:rPr>
          <w:lang w:val="en-CA"/>
        </w:rPr>
        <w:t xml:space="preserve">. </w:t>
      </w:r>
      <w:r w:rsidR="008F6BD7">
        <w:rPr>
          <w:lang w:val="en-CA"/>
        </w:rPr>
        <w:t xml:space="preserve">Religious </w:t>
      </w:r>
      <w:r w:rsidR="00706603">
        <w:rPr>
          <w:lang w:val="en-CA"/>
        </w:rPr>
        <w:t>conviction and its many expressions</w:t>
      </w:r>
      <w:r w:rsidR="00706603" w:rsidRPr="00A908F8">
        <w:rPr>
          <w:lang w:val="en-CA"/>
        </w:rPr>
        <w:t xml:space="preserve"> </w:t>
      </w:r>
      <w:r>
        <w:rPr>
          <w:lang w:val="en-CA"/>
        </w:rPr>
        <w:t>are</w:t>
      </w:r>
      <w:r w:rsidR="00A908F8" w:rsidRPr="00A908F8">
        <w:rPr>
          <w:lang w:val="en-CA"/>
        </w:rPr>
        <w:t xml:space="preserve"> personal, but the independence condition </w:t>
      </w:r>
      <w:r w:rsidR="00706603">
        <w:rPr>
          <w:lang w:val="en-CA"/>
        </w:rPr>
        <w:t>is silent on the truth or falsity of the actual religious belief.</w:t>
      </w:r>
      <w:r w:rsidR="00A908F8" w:rsidRPr="00A908F8">
        <w:rPr>
          <w:lang w:val="en-CA"/>
        </w:rPr>
        <w:t xml:space="preserve"> Rather, </w:t>
      </w:r>
      <w:r w:rsidR="00706603">
        <w:rPr>
          <w:lang w:val="en-CA"/>
        </w:rPr>
        <w:t>the condition</w:t>
      </w:r>
      <w:r w:rsidR="00706603" w:rsidRPr="00A908F8">
        <w:rPr>
          <w:lang w:val="en-CA"/>
        </w:rPr>
        <w:t xml:space="preserve"> </w:t>
      </w:r>
      <w:r w:rsidR="00A908F8" w:rsidRPr="00A908F8">
        <w:rPr>
          <w:lang w:val="en-CA"/>
        </w:rPr>
        <w:t>is protecting citizens</w:t>
      </w:r>
      <w:r w:rsidR="00706603">
        <w:rPr>
          <w:lang w:val="en-CA"/>
        </w:rPr>
        <w:t>’</w:t>
      </w:r>
      <w:r w:rsidR="00A908F8" w:rsidRPr="00A908F8">
        <w:rPr>
          <w:lang w:val="en-CA"/>
        </w:rPr>
        <w:t xml:space="preserve"> reasons to choose over conforming to the state’s requirement.</w:t>
      </w:r>
    </w:p>
    <w:p w14:paraId="75352BA5" w14:textId="77777777" w:rsidR="005D204B" w:rsidRDefault="00A908F8" w:rsidP="00A908F8">
      <w:pPr>
        <w:pStyle w:val="BodyText"/>
        <w:rPr>
          <w:lang w:val="en-CA"/>
        </w:rPr>
      </w:pPr>
      <w:r w:rsidRPr="00A908F8">
        <w:rPr>
          <w:lang w:val="en-CA"/>
        </w:rPr>
        <w:t>In “The Problem of Authority” Raz writes, “[w]e are not fully ourselves if too many of our decisions are not taken by us, but by agents, automata, or superiors.”</w:t>
      </w:r>
      <w:r>
        <w:rPr>
          <w:rStyle w:val="EndnoteReference"/>
        </w:rPr>
        <w:endnoteReference w:id="27"/>
      </w:r>
      <w:r w:rsidRPr="00A908F8">
        <w:rPr>
          <w:lang w:val="en-CA"/>
        </w:rPr>
        <w:t xml:space="preserve"> </w:t>
      </w:r>
      <w:r w:rsidR="00706603">
        <w:rPr>
          <w:lang w:val="en-CA"/>
        </w:rPr>
        <w:t xml:space="preserve">He accepts that </w:t>
      </w:r>
      <w:r w:rsidR="00BF7440">
        <w:rPr>
          <w:lang w:val="en-CA"/>
        </w:rPr>
        <w:t xml:space="preserve">sometimes </w:t>
      </w:r>
      <w:r w:rsidR="00DA7D4A">
        <w:rPr>
          <w:lang w:val="en-CA"/>
        </w:rPr>
        <w:t xml:space="preserve">it is our duty to accept </w:t>
      </w:r>
      <w:proofErr w:type="gramStart"/>
      <w:r w:rsidR="00DA7D4A">
        <w:rPr>
          <w:lang w:val="en-CA"/>
        </w:rPr>
        <w:t>authority</w:t>
      </w:r>
      <w:r w:rsidR="00BF7440">
        <w:rPr>
          <w:lang w:val="en-CA"/>
        </w:rPr>
        <w:t>, but</w:t>
      </w:r>
      <w:proofErr w:type="gramEnd"/>
      <w:r w:rsidR="00BF7440">
        <w:rPr>
          <w:lang w:val="en-CA"/>
        </w:rPr>
        <w:t xml:space="preserve"> insists that a li</w:t>
      </w:r>
      <w:r w:rsidR="00DA7D4A">
        <w:rPr>
          <w:lang w:val="en-CA"/>
        </w:rPr>
        <w:t>f</w:t>
      </w:r>
      <w:r w:rsidR="00BF7440">
        <w:rPr>
          <w:lang w:val="en-CA"/>
        </w:rPr>
        <w:t xml:space="preserve">e cannot be understood as fully autonomous if </w:t>
      </w:r>
      <w:r w:rsidR="00D30A7D">
        <w:rPr>
          <w:lang w:val="en-CA"/>
        </w:rPr>
        <w:t>a person</w:t>
      </w:r>
      <w:r w:rsidR="00DA7D4A">
        <w:rPr>
          <w:lang w:val="en-CA"/>
        </w:rPr>
        <w:t xml:space="preserve"> </w:t>
      </w:r>
      <w:r w:rsidR="00BF7440">
        <w:rPr>
          <w:lang w:val="en-CA"/>
        </w:rPr>
        <w:t>fail</w:t>
      </w:r>
      <w:r w:rsidR="00DA7D4A">
        <w:rPr>
          <w:lang w:val="en-CA"/>
        </w:rPr>
        <w:t>s</w:t>
      </w:r>
      <w:r w:rsidR="00BF7440">
        <w:rPr>
          <w:lang w:val="en-CA"/>
        </w:rPr>
        <w:t xml:space="preserve"> to decide for </w:t>
      </w:r>
      <w:r w:rsidR="00D30A7D">
        <w:rPr>
          <w:lang w:val="en-CA"/>
        </w:rPr>
        <w:t>herself</w:t>
      </w:r>
      <w:r w:rsidR="00BF7440">
        <w:rPr>
          <w:lang w:val="en-CA"/>
        </w:rPr>
        <w:t>.</w:t>
      </w:r>
      <w:r>
        <w:rPr>
          <w:rStyle w:val="EndnoteReference"/>
        </w:rPr>
        <w:endnoteReference w:id="28"/>
      </w:r>
      <w:r w:rsidR="00D30A7D">
        <w:rPr>
          <w:lang w:val="en-CA"/>
        </w:rPr>
        <w:t xml:space="preserve"> </w:t>
      </w:r>
    </w:p>
    <w:p w14:paraId="13D83E53" w14:textId="77777777" w:rsidR="00A908F8" w:rsidRDefault="00D30A7D" w:rsidP="00A908F8">
      <w:pPr>
        <w:pStyle w:val="BodyText"/>
        <w:rPr>
          <w:lang w:val="en-CA"/>
        </w:rPr>
      </w:pPr>
      <w:r>
        <w:rPr>
          <w:lang w:val="en-CA"/>
        </w:rPr>
        <w:t>Bill 21 fails at the independence condition. Quebec cannot offer an epistemic advantage to citizens subject to this prohibition—and it cannot, in principle, untangle its conflation of public servants acting as proxies for the state and who those public servants</w:t>
      </w:r>
      <w:r w:rsidR="005D204B">
        <w:rPr>
          <w:lang w:val="en-CA"/>
        </w:rPr>
        <w:t xml:space="preserve"> are</w:t>
      </w:r>
      <w:r>
        <w:rPr>
          <w:lang w:val="en-CA"/>
        </w:rPr>
        <w:t xml:space="preserve">. The Charter’s protections extend appropriately to the kind of independence citizens enjoy in relation to their religious beliefs, be they privately held or </w:t>
      </w:r>
      <w:r w:rsidR="005D204B">
        <w:rPr>
          <w:lang w:val="en-CA"/>
        </w:rPr>
        <w:t>publicly</w:t>
      </w:r>
      <w:r>
        <w:rPr>
          <w:lang w:val="en-CA"/>
        </w:rPr>
        <w:t xml:space="preserve"> expressed.</w:t>
      </w:r>
      <w:r w:rsidR="005D204B">
        <w:rPr>
          <w:lang w:val="en-CA"/>
        </w:rPr>
        <w:t xml:space="preserve"> </w:t>
      </w:r>
      <w:r w:rsidR="00310647">
        <w:rPr>
          <w:lang w:val="en-CA"/>
        </w:rPr>
        <w:t xml:space="preserve">That protection </w:t>
      </w:r>
      <w:r w:rsidR="005D204B">
        <w:rPr>
          <w:lang w:val="en-CA"/>
        </w:rPr>
        <w:t>is the law’s recognition of what the independence condition describes.</w:t>
      </w:r>
      <w:r>
        <w:rPr>
          <w:lang w:val="en-CA"/>
        </w:rPr>
        <w:t xml:space="preserve"> </w:t>
      </w:r>
      <w:r w:rsidR="005D204B">
        <w:t xml:space="preserve">Through s. 33 of the Charter, Bill 21 operates notwithstanding those protections and </w:t>
      </w:r>
      <w:r w:rsidR="005D204B">
        <w:rPr>
          <w:lang w:val="en-CA"/>
        </w:rPr>
        <w:t>is, then, a clear case of legal power outlasting moral authority by its very design.</w:t>
      </w:r>
      <w:r>
        <w:rPr>
          <w:lang w:val="en-CA"/>
        </w:rPr>
        <w:t xml:space="preserve"> </w:t>
      </w:r>
    </w:p>
    <w:p w14:paraId="69DBA07C" w14:textId="77777777" w:rsidR="00310647" w:rsidRDefault="005D204B" w:rsidP="00A908F8">
      <w:pPr>
        <w:pStyle w:val="BodyText"/>
        <w:rPr>
          <w:lang w:val="en-CA"/>
        </w:rPr>
      </w:pPr>
      <w:r>
        <w:rPr>
          <w:lang w:val="en-CA"/>
        </w:rPr>
        <w:t xml:space="preserve">In the case of protest, deferring is self-defeating. In this final domain the matter was never for the state to decide. </w:t>
      </w:r>
      <w:r w:rsidR="00310647">
        <w:rPr>
          <w:lang w:val="en-CA"/>
        </w:rPr>
        <w:t>I</w:t>
      </w:r>
      <w:r w:rsidR="00310647">
        <w:t>f authority is judged by whether it serves us, one may wonder whether the audit is merely managerial.</w:t>
      </w:r>
      <w:r w:rsidR="00310647">
        <w:rPr>
          <w:lang w:val="en-CA"/>
        </w:rPr>
        <w:t xml:space="preserve"> </w:t>
      </w:r>
      <w:r w:rsidR="00FA200C">
        <w:rPr>
          <w:lang w:val="en-CA"/>
        </w:rPr>
        <w:t>As promised in the introduction, I return to Coats and Oakeshott in the conclusion.</w:t>
      </w:r>
    </w:p>
    <w:p w14:paraId="29A8A6F1" w14:textId="77777777" w:rsidR="00FA200C" w:rsidRDefault="00FA200C" w:rsidP="00FA200C">
      <w:pPr>
        <w:pStyle w:val="Heading2"/>
      </w:pPr>
      <w:r>
        <w:t>6. Conclusion</w:t>
      </w:r>
    </w:p>
    <w:p w14:paraId="4619229F" w14:textId="77777777" w:rsidR="00FA200C" w:rsidRDefault="00FA200C" w:rsidP="00291C0C">
      <w:pPr>
        <w:pStyle w:val="BodyText"/>
        <w:ind w:firstLine="0"/>
        <w:rPr>
          <w:lang w:val="en-CA"/>
        </w:rPr>
      </w:pPr>
    </w:p>
    <w:p w14:paraId="4D521B02" w14:textId="77777777" w:rsidR="00291C0C" w:rsidRPr="00291C0C" w:rsidRDefault="00291C0C" w:rsidP="00291C0C">
      <w:pPr>
        <w:pStyle w:val="BodyText"/>
        <w:rPr>
          <w:lang w:val="en-CA"/>
        </w:rPr>
      </w:pPr>
      <w:r w:rsidRPr="00291C0C">
        <w:rPr>
          <w:lang w:val="en-CA"/>
        </w:rPr>
        <w:lastRenderedPageBreak/>
        <w:t>We have seen that public health mandates pass the normal justification thesis. Protest restrictions fail because deferring is self-defeating. Bill 21 fails at the independence condition. The audit shows not simply whether authority fails, but where and why it fails.</w:t>
      </w:r>
    </w:p>
    <w:p w14:paraId="61E2EF1F" w14:textId="77777777" w:rsidR="00291C0C" w:rsidRPr="00291C0C" w:rsidRDefault="00291C0C" w:rsidP="00291C0C">
      <w:pPr>
        <w:pStyle w:val="BodyText"/>
        <w:rPr>
          <w:lang w:val="en-CA"/>
        </w:rPr>
      </w:pPr>
      <w:r w:rsidRPr="00291C0C">
        <w:rPr>
          <w:lang w:val="en-CA"/>
        </w:rPr>
        <w:t>Coats is right that subjecting political authority to an audit of this kind risks treating the state as an enterprise association, as Oakeshott understands it, instrumentalizing the law.</w:t>
      </w:r>
      <w:r>
        <w:rPr>
          <w:rStyle w:val="EndnoteReference"/>
        </w:rPr>
        <w:endnoteReference w:id="29"/>
      </w:r>
      <w:r w:rsidRPr="00291C0C">
        <w:rPr>
          <w:lang w:val="en-CA"/>
        </w:rPr>
        <w:t xml:space="preserve"> The service test is clearly instrumental. But the audit is not only a service test.</w:t>
      </w:r>
    </w:p>
    <w:p w14:paraId="59FC5878" w14:textId="77777777" w:rsidR="00291C0C" w:rsidRPr="00291C0C" w:rsidRDefault="00291C0C" w:rsidP="00291C0C">
      <w:pPr>
        <w:pStyle w:val="BodyText"/>
        <w:rPr>
          <w:lang w:val="en-CA"/>
        </w:rPr>
      </w:pPr>
      <w:r w:rsidRPr="00291C0C">
        <w:rPr>
          <w:lang w:val="en-CA"/>
        </w:rPr>
        <w:t>It brings together two conceptually related but distinct elements: the service test and the independence condition. The former asks whether the state helps its citizens better conform to reasons that already apply to them. The pandemic restrictions gave us a clear case where the state had an epistemic advantage. The latter, the independence condition, doesn’t ask how the state performs. Rather, it identifies matters that individual citizens must settle for themselves, not deferring their judgment to the state. As with the decision to undergo surgery, it may be better that citizens exercise their own judgment even if the state would make a better decision on their behalf. Therefore, the instrumental characteristic of the audit has a fixed limit. The independence condition is not a performance metric; rather, it marks what the state is not licensed to decide, no matter its achievements. This is closer to Oakeshott’s civil association, where law sets conditions on conduct rather than pursuing substantive ends. The independence condition similarly fixes a limit according to the kind of matter at stake, not the outcomes the state might achieve. Even if the Quebec Government could demonstrate by some metric positive social outcomes from Bill 21, it wouldn’t follow that the state has established authority over whether a Muslim teacher may wear a hijab in her classroom. Raz’s theory is not exclusively instrumental, and so the audit is not merely managerial.</w:t>
      </w:r>
    </w:p>
    <w:p w14:paraId="40DAD620" w14:textId="77777777" w:rsidR="00291C0C" w:rsidRPr="00291C0C" w:rsidRDefault="00291C0C" w:rsidP="00291C0C">
      <w:pPr>
        <w:pStyle w:val="BodyText"/>
        <w:rPr>
          <w:lang w:val="en-CA"/>
        </w:rPr>
      </w:pPr>
      <w:r w:rsidRPr="00291C0C">
        <w:rPr>
          <w:lang w:val="en-CA"/>
        </w:rPr>
        <w:t>In Bill 21, the s. 33 override lapses after five years unless re-enacted. Its renewal is a formality, not an audit, and cannot by itself confer authority. Legal power may outlast moral authority. Political authority is possible, but without presumption: it remains conditional, domain-specific, and open to failure.</w:t>
      </w:r>
    </w:p>
    <w:p w14:paraId="26555DFF" w14:textId="77777777" w:rsidR="005D204B" w:rsidRPr="00A908F8" w:rsidRDefault="00310647" w:rsidP="00A908F8">
      <w:pPr>
        <w:pStyle w:val="BodyText"/>
        <w:rPr>
          <w:lang w:val="en-CA"/>
        </w:rPr>
      </w:pPr>
      <w:r>
        <w:rPr>
          <w:lang w:val="en-CA"/>
        </w:rPr>
        <w:t xml:space="preserve"> </w:t>
      </w:r>
    </w:p>
    <w:p w14:paraId="3403C758" w14:textId="77777777" w:rsidR="00C8116C" w:rsidRPr="007F0DF7" w:rsidRDefault="00C8116C" w:rsidP="005A0D0D">
      <w:pPr>
        <w:pStyle w:val="BodyText"/>
      </w:pPr>
    </w:p>
    <w:sectPr w:rsidR="00C8116C" w:rsidRPr="007F0DF7">
      <w:endnotePr>
        <w:numFmt w:val="decimal"/>
      </w:endnotePr>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352DBB" w14:textId="77777777" w:rsidR="00F6587A" w:rsidRDefault="00F6587A" w:rsidP="002D3510">
      <w:pPr>
        <w:spacing w:line="240" w:lineRule="auto"/>
      </w:pPr>
      <w:r>
        <w:separator/>
      </w:r>
    </w:p>
  </w:endnote>
  <w:endnote w:type="continuationSeparator" w:id="0">
    <w:p w14:paraId="5D318DFC" w14:textId="77777777" w:rsidR="00F6587A" w:rsidRDefault="00F6587A" w:rsidP="002D3510">
      <w:pPr>
        <w:spacing w:line="240" w:lineRule="auto"/>
      </w:pPr>
      <w:r>
        <w:continuationSeparator/>
      </w:r>
    </w:p>
  </w:endnote>
  <w:endnote w:id="1">
    <w:p w14:paraId="6649AC8C" w14:textId="77777777" w:rsidR="002D3510" w:rsidRPr="008345F8" w:rsidRDefault="002D3510" w:rsidP="002D3510">
      <w:pPr>
        <w:pStyle w:val="EndnoteText"/>
        <w:rPr>
          <w:lang w:val="en-CA"/>
        </w:rPr>
      </w:pPr>
      <w:r>
        <w:rPr>
          <w:rStyle w:val="EndnoteReference"/>
        </w:rPr>
        <w:endnoteRef/>
      </w:r>
      <w:r>
        <w:t xml:space="preserve"> </w:t>
      </w:r>
      <w:r w:rsidRPr="004D3F57">
        <w:t xml:space="preserve">David Hume, “Of the Original Contract,” in </w:t>
      </w:r>
      <w:r w:rsidRPr="004D3F57">
        <w:rPr>
          <w:i/>
          <w:iCs/>
        </w:rPr>
        <w:t>Essays, Moral, Political, and Literary</w:t>
      </w:r>
      <w:r w:rsidRPr="004D3F57">
        <w:t>, ed. Eugene F. Miller, rev. ed. (Indianapolis: Liberty Fund, 1987), 475.</w:t>
      </w:r>
    </w:p>
  </w:endnote>
  <w:endnote w:id="2">
    <w:p w14:paraId="336D775D" w14:textId="77777777" w:rsidR="002D3510" w:rsidRPr="008345F8" w:rsidRDefault="002D3510" w:rsidP="002D3510">
      <w:pPr>
        <w:pStyle w:val="EndnoteText"/>
        <w:rPr>
          <w:lang w:val="en-CA"/>
        </w:rPr>
      </w:pPr>
      <w:r>
        <w:rPr>
          <w:rStyle w:val="EndnoteReference"/>
        </w:rPr>
        <w:endnoteRef/>
      </w:r>
      <w:r>
        <w:t xml:space="preserve"> </w:t>
      </w:r>
      <w:r w:rsidRPr="004D3F57">
        <w:t xml:space="preserve">Robert Nozick, </w:t>
      </w:r>
      <w:r w:rsidRPr="004D3F57">
        <w:rPr>
          <w:i/>
          <w:iCs/>
        </w:rPr>
        <w:t>Anarchy, State, and Utopia</w:t>
      </w:r>
      <w:r w:rsidRPr="004D3F57">
        <w:t xml:space="preserve"> (New York: Basic Books, 1974), 95. See also A. John Simmons, </w:t>
      </w:r>
      <w:r w:rsidRPr="004D3F57">
        <w:rPr>
          <w:i/>
          <w:iCs/>
        </w:rPr>
        <w:t>Moral Principles and Political Obligations</w:t>
      </w:r>
      <w:r w:rsidRPr="004D3F57">
        <w:t xml:space="preserve"> (Princeton: Princeton University Press, 1979), chs. 3–5; and “Justification and Legitimacy,” </w:t>
      </w:r>
      <w:r w:rsidRPr="004D3F57">
        <w:rPr>
          <w:i/>
          <w:iCs/>
        </w:rPr>
        <w:t>Ethics</w:t>
      </w:r>
      <w:r w:rsidRPr="004D3F57">
        <w:t xml:space="preserve"> 109, no. 4 (1999): 739–71.</w:t>
      </w:r>
    </w:p>
  </w:endnote>
  <w:endnote w:id="3">
    <w:p w14:paraId="0988F1F8" w14:textId="77777777" w:rsidR="00F63C2D" w:rsidRPr="00F63C2D" w:rsidRDefault="00F63C2D">
      <w:pPr>
        <w:pStyle w:val="EndnoteText"/>
        <w:rPr>
          <w:lang w:val="en-CA"/>
        </w:rPr>
      </w:pPr>
      <w:r>
        <w:rPr>
          <w:rStyle w:val="EndnoteReference"/>
        </w:rPr>
        <w:endnoteRef/>
      </w:r>
      <w:r>
        <w:t xml:space="preserve"> This analogy has a long history. See Plato, </w:t>
      </w:r>
      <w:r>
        <w:rPr>
          <w:rStyle w:val="Emphasis"/>
        </w:rPr>
        <w:t>Statesman</w:t>
      </w:r>
      <w:r>
        <w:t xml:space="preserve">, 293a–297b, and </w:t>
      </w:r>
      <w:r>
        <w:rPr>
          <w:rStyle w:val="Emphasis"/>
        </w:rPr>
        <w:t>Laws</w:t>
      </w:r>
      <w:r>
        <w:t xml:space="preserve">, 720a–e, in </w:t>
      </w:r>
      <w:r>
        <w:rPr>
          <w:rStyle w:val="Emphasis"/>
        </w:rPr>
        <w:t>Plato: Complete Works</w:t>
      </w:r>
      <w:r>
        <w:t xml:space="preserve">, ed. John M. Cooper (Indianapolis: Hackett, 1997). In the </w:t>
      </w:r>
      <w:r>
        <w:rPr>
          <w:rStyle w:val="Emphasis"/>
        </w:rPr>
        <w:t>Statesman</w:t>
      </w:r>
      <w:r>
        <w:t xml:space="preserve">, the expert physician-ruler may rule without consent, though in the </w:t>
      </w:r>
      <w:r>
        <w:rPr>
          <w:rStyle w:val="Emphasis"/>
        </w:rPr>
        <w:t>Laws</w:t>
      </w:r>
      <w:r>
        <w:t xml:space="preserve"> the free doctor persuades before he prescribes. For Raz, expertise can ground authority only where deferring helps us act on reasons that already apply to us, and only on matters not better left to our own devices.</w:t>
      </w:r>
    </w:p>
  </w:endnote>
  <w:endnote w:id="4">
    <w:p w14:paraId="65B77FFF" w14:textId="77777777" w:rsidR="000B1A54" w:rsidRDefault="00000000">
      <w:pPr>
        <w:pStyle w:val="EndnoteText"/>
        <w:rPr>
          <w:lang w:val="en-CA"/>
        </w:rPr>
      </w:pPr>
      <w:r>
        <w:rPr>
          <w:rStyle w:val="EndnoteReference"/>
        </w:rPr>
        <w:endnoteRef/>
      </w:r>
      <w:r>
        <w:t xml:space="preserve"> Joseph Raz, </w:t>
      </w:r>
      <w:r>
        <w:rPr>
          <w:i/>
          <w:iCs/>
        </w:rPr>
        <w:t>The Morality of Freedom</w:t>
      </w:r>
      <w:r>
        <w:t xml:space="preserve"> (Oxford: Clarendon Press, 1986). Raz describes his approach to authority as “piecemeal,” allowing that governments “have varying degrees of authority over different people” (107).</w:t>
      </w:r>
    </w:p>
  </w:endnote>
  <w:endnote w:id="5">
    <w:p w14:paraId="4BB64FB9" w14:textId="77777777" w:rsidR="000B1A54" w:rsidRDefault="00000000">
      <w:pPr>
        <w:pStyle w:val="EndnoteText"/>
        <w:rPr>
          <w:lang w:val="en-CA"/>
        </w:rPr>
      </w:pPr>
      <w:r>
        <w:rPr>
          <w:rStyle w:val="EndnoteReference"/>
        </w:rPr>
        <w:endnoteRef/>
      </w:r>
      <w:r>
        <w:t xml:space="preserve"> Raz rejects neutrality as a principle of political morality. See Raz, </w:t>
      </w:r>
      <w:r>
        <w:rPr>
          <w:i/>
          <w:iCs/>
        </w:rPr>
        <w:t>Morality of Freedom</w:t>
      </w:r>
      <w:r>
        <w:t>, chs. 5–6. The audit asks only whether Quebec’s reason supports deference.</w:t>
      </w:r>
    </w:p>
  </w:endnote>
  <w:endnote w:id="6">
    <w:p w14:paraId="2C1D503D" w14:textId="77777777" w:rsidR="000B1A54" w:rsidRDefault="00000000">
      <w:pPr>
        <w:pStyle w:val="EndnoteText"/>
        <w:rPr>
          <w:lang w:val="en-CA"/>
        </w:rPr>
      </w:pPr>
      <w:r>
        <w:rPr>
          <w:rStyle w:val="EndnoteReference"/>
        </w:rPr>
        <w:endnoteRef/>
      </w:r>
      <w:r>
        <w:t xml:space="preserve"> Raz, </w:t>
      </w:r>
      <w:r>
        <w:rPr>
          <w:i/>
          <w:iCs/>
        </w:rPr>
        <w:t>Morality of Freedom</w:t>
      </w:r>
      <w:r>
        <w:t>, 53.</w:t>
      </w:r>
    </w:p>
  </w:endnote>
  <w:endnote w:id="7">
    <w:p w14:paraId="7B9BFA71" w14:textId="77777777" w:rsidR="000B1A54" w:rsidRDefault="00000000">
      <w:pPr>
        <w:pStyle w:val="EndnoteText"/>
        <w:rPr>
          <w:lang w:val="en-CA"/>
        </w:rPr>
      </w:pPr>
      <w:r>
        <w:rPr>
          <w:rStyle w:val="EndnoteReference"/>
        </w:rPr>
        <w:endnoteRef/>
      </w:r>
      <w:r>
        <w:t xml:space="preserve"> Raz, </w:t>
      </w:r>
      <w:r>
        <w:rPr>
          <w:i/>
          <w:iCs/>
        </w:rPr>
        <w:t>Morality of Freedom</w:t>
      </w:r>
      <w:r>
        <w:t>, 47. For a Finnisian challenge to the claim that law adds no new reasons, see Melissa Moschella’s chapter in this volume.</w:t>
      </w:r>
    </w:p>
  </w:endnote>
  <w:endnote w:id="8">
    <w:p w14:paraId="29E3A96D" w14:textId="77777777" w:rsidR="000B1A54" w:rsidRDefault="00000000">
      <w:pPr>
        <w:pStyle w:val="EndnoteText"/>
        <w:rPr>
          <w:lang w:val="en-CA"/>
        </w:rPr>
      </w:pPr>
      <w:r>
        <w:rPr>
          <w:rStyle w:val="EndnoteReference"/>
        </w:rPr>
        <w:endnoteRef/>
      </w:r>
      <w:r>
        <w:t xml:space="preserve"> Raz, </w:t>
      </w:r>
      <w:r>
        <w:rPr>
          <w:i/>
          <w:iCs/>
        </w:rPr>
        <w:t>Morality of Freedom</w:t>
      </w:r>
      <w:r>
        <w:t>, 46.</w:t>
      </w:r>
    </w:p>
  </w:endnote>
  <w:endnote w:id="9">
    <w:p w14:paraId="1DE7957D" w14:textId="77777777" w:rsidR="000B1A54" w:rsidRDefault="00000000">
      <w:pPr>
        <w:pStyle w:val="EndnoteText"/>
        <w:rPr>
          <w:lang w:val="en-CA"/>
        </w:rPr>
      </w:pPr>
      <w:r>
        <w:rPr>
          <w:rStyle w:val="EndnoteReference"/>
        </w:rPr>
        <w:endnoteRef/>
      </w:r>
      <w:r>
        <w:t xml:space="preserve"> Raz, </w:t>
      </w:r>
      <w:r>
        <w:rPr>
          <w:i/>
          <w:iCs/>
        </w:rPr>
        <w:t>Morality of Freedom</w:t>
      </w:r>
      <w:r>
        <w:t>, 70: “Even reasonably just states claim more extensive authority than they are entitled to by that criterion.”</w:t>
      </w:r>
    </w:p>
  </w:endnote>
  <w:endnote w:id="10">
    <w:p w14:paraId="585E9C8C" w14:textId="77777777" w:rsidR="000B1A54" w:rsidRDefault="00000000">
      <w:pPr>
        <w:pStyle w:val="EndnoteText"/>
        <w:rPr>
          <w:lang w:val="en-CA"/>
        </w:rPr>
      </w:pPr>
      <w:r>
        <w:rPr>
          <w:rStyle w:val="EndnoteReference"/>
        </w:rPr>
        <w:endnoteRef/>
      </w:r>
      <w:r>
        <w:t xml:space="preserve"> Raz, “The Problem of Authority: Revisiting the Service Conception,” </w:t>
      </w:r>
      <w:r>
        <w:rPr>
          <w:i/>
          <w:iCs/>
        </w:rPr>
        <w:t>Minnesota Law Review</w:t>
      </w:r>
      <w:r>
        <w:t xml:space="preserve"> 90 (2006): 1003–44, at 1014. Raz anticipates the condition in </w:t>
      </w:r>
      <w:r>
        <w:rPr>
          <w:i/>
          <w:iCs/>
        </w:rPr>
        <w:t>Morality of Freedom</w:t>
      </w:r>
      <w:r>
        <w:t>, 69, where deferring to authority is rational “where improving the outcome is more important than deciding for oneself.”</w:t>
      </w:r>
    </w:p>
  </w:endnote>
  <w:endnote w:id="11">
    <w:p w14:paraId="40A89348" w14:textId="77777777" w:rsidR="000B1A54" w:rsidRDefault="00000000">
      <w:pPr>
        <w:pStyle w:val="EndnoteText"/>
        <w:rPr>
          <w:lang w:val="en-CA"/>
        </w:rPr>
      </w:pPr>
      <w:r>
        <w:rPr>
          <w:rStyle w:val="EndnoteReference"/>
        </w:rPr>
        <w:endnoteRef/>
      </w:r>
      <w:r>
        <w:t xml:space="preserve"> Robert Paul Wolff, </w:t>
      </w:r>
      <w:r>
        <w:rPr>
          <w:i/>
          <w:iCs/>
        </w:rPr>
        <w:t>In Defense of Anarchism</w:t>
      </w:r>
      <w:r>
        <w:t xml:space="preserve"> (New York: Harper &amp; Row, 1970), 18.</w:t>
      </w:r>
    </w:p>
  </w:endnote>
  <w:endnote w:id="12">
    <w:p w14:paraId="1E2704A1" w14:textId="77777777" w:rsidR="000B1A54" w:rsidRDefault="00000000">
      <w:pPr>
        <w:pStyle w:val="EndnoteText"/>
        <w:rPr>
          <w:lang w:val="en-CA"/>
        </w:rPr>
      </w:pPr>
      <w:r>
        <w:rPr>
          <w:rStyle w:val="EndnoteReference"/>
        </w:rPr>
        <w:endnoteRef/>
      </w:r>
      <w:r>
        <w:t xml:space="preserve"> Prime Minister of Canada, “Prime Minister Announces Mandatory Vaccination for the Federal Workforce and Federally Regulated Transportation Sectors,” news release, October 6, 2021, https://www.pm.gc.ca/en/news/news-releases/2021/10/06/prime-minister-announces-mandatory-vaccination-federal-workforce-and.</w:t>
      </w:r>
    </w:p>
  </w:endnote>
  <w:endnote w:id="13">
    <w:p w14:paraId="59E9554D" w14:textId="77777777" w:rsidR="000B1A54" w:rsidRDefault="00000000">
      <w:pPr>
        <w:pStyle w:val="EndnoteText"/>
        <w:rPr>
          <w:lang w:val="en-CA"/>
        </w:rPr>
      </w:pPr>
      <w:r>
        <w:rPr>
          <w:rStyle w:val="EndnoteReference"/>
        </w:rPr>
        <w:endnoteRef/>
      </w:r>
      <w:r>
        <w:t xml:space="preserve"> Lisa Young and Michelle Maroto, “The Evolution of Albertans’ Attitudes about COVID-19 Restrictions,” Common Ground, March 15, 2023, https://www.commongroundpolitics.ca/albertans-covid-19-restrictions.</w:t>
      </w:r>
    </w:p>
  </w:endnote>
  <w:endnote w:id="14">
    <w:p w14:paraId="677A4961" w14:textId="77777777" w:rsidR="000B1A54" w:rsidRDefault="00000000">
      <w:pPr>
        <w:pStyle w:val="EndnoteText"/>
        <w:rPr>
          <w:lang w:val="en-CA"/>
        </w:rPr>
      </w:pPr>
      <w:r>
        <w:rPr>
          <w:rStyle w:val="EndnoteReference"/>
        </w:rPr>
        <w:endnoteRef/>
      </w:r>
      <w:r>
        <w:t xml:space="preserve"> Ryan Macdonald and Jessica Dekker, “COVID-19 Restrictions Index Update,” </w:t>
      </w:r>
      <w:r>
        <w:rPr>
          <w:i/>
          <w:iCs/>
        </w:rPr>
        <w:t>Economic and Social Reports</w:t>
      </w:r>
      <w:r>
        <w:t xml:space="preserve"> 2, no. 8 (Ottawa: Statistics Canada, 2022), https://doi.org/10.25318/36280001202200800002-eng.</w:t>
      </w:r>
    </w:p>
  </w:endnote>
  <w:endnote w:id="15">
    <w:p w14:paraId="595E0958" w14:textId="77777777" w:rsidR="000B1A54" w:rsidRDefault="00000000">
      <w:pPr>
        <w:pStyle w:val="EndnoteText"/>
        <w:rPr>
          <w:lang w:val="en-CA"/>
        </w:rPr>
      </w:pPr>
      <w:r>
        <w:rPr>
          <w:rStyle w:val="EndnoteReference"/>
        </w:rPr>
        <w:endnoteRef/>
      </w:r>
      <w:r>
        <w:t xml:space="preserve"> </w:t>
      </w:r>
      <w:r>
        <w:rPr>
          <w:i/>
          <w:iCs/>
        </w:rPr>
        <w:t>Canadian Charter of Rights and Freedoms</w:t>
      </w:r>
      <w:r>
        <w:t xml:space="preserve">, s. 2, Part I of the </w:t>
      </w:r>
      <w:r>
        <w:rPr>
          <w:i/>
          <w:iCs/>
        </w:rPr>
        <w:t>Constitution Act, 1982</w:t>
      </w:r>
      <w:r>
        <w:t xml:space="preserve">, being Schedule B to the </w:t>
      </w:r>
      <w:r>
        <w:rPr>
          <w:i/>
          <w:iCs/>
        </w:rPr>
        <w:t>Canada Act 1982</w:t>
      </w:r>
      <w:r>
        <w:t xml:space="preserve"> (UK), 1982, c. 11. When the federal government invoked the </w:t>
      </w:r>
      <w:r>
        <w:rPr>
          <w:i/>
          <w:iCs/>
        </w:rPr>
        <w:t>Emergencies Act</w:t>
      </w:r>
      <w:r>
        <w:t xml:space="preserve"> against the 2022 Freedom Convoy, the Federal Court held that its regulations unjustifiably infringed s. 2(b) of the Charter. See </w:t>
      </w:r>
      <w:r>
        <w:rPr>
          <w:i/>
          <w:iCs/>
        </w:rPr>
        <w:t>Canadian Civil Liberties Association v. Canada (Attorney General)</w:t>
      </w:r>
      <w:r>
        <w:t xml:space="preserve">, 2024 FC 42. The Federal Court of Appeal upheld that ruling in January 2026, finding that less intrusive measures were available, including measures directed specifically at protesters who were not peaceful. See </w:t>
      </w:r>
      <w:r>
        <w:rPr>
          <w:i/>
          <w:iCs/>
        </w:rPr>
        <w:t>Canada (Attorney General) v. Canadian Civil Liberties Association</w:t>
      </w:r>
      <w:r>
        <w:t>, 2026 FCA 6.</w:t>
      </w:r>
    </w:p>
  </w:endnote>
  <w:endnote w:id="16">
    <w:p w14:paraId="07995F85" w14:textId="77777777" w:rsidR="000B1A54" w:rsidRDefault="00000000">
      <w:pPr>
        <w:pStyle w:val="EndnoteText"/>
        <w:rPr>
          <w:lang w:val="en-CA"/>
        </w:rPr>
      </w:pPr>
      <w:r>
        <w:rPr>
          <w:rStyle w:val="EndnoteReference"/>
        </w:rPr>
        <w:endnoteRef/>
      </w:r>
      <w:r>
        <w:t xml:space="preserve"> U.S. Const. </w:t>
      </w:r>
      <w:proofErr w:type="gramStart"/>
      <w:r>
        <w:t>amend</w:t>
      </w:r>
      <w:proofErr w:type="gramEnd"/>
      <w:r>
        <w:t xml:space="preserve">. I. American courts have long treated streets and parks as places that “have immemorially been held in trust for the use of the public” for assembly and debate. See </w:t>
      </w:r>
      <w:r>
        <w:rPr>
          <w:i/>
          <w:iCs/>
        </w:rPr>
        <w:t>Hague v. Committee for Industrial Organization</w:t>
      </w:r>
      <w:r>
        <w:t xml:space="preserve">, 307 U.S. 496, 515 (1939) (opinion of Roberts, J.). The state may regulate the time, place, and manner of protest, but only if its restrictions are content-neutral, narrowly tailored to a significant government interest, and leave open ample alternative channels of communication. See </w:t>
      </w:r>
      <w:r>
        <w:rPr>
          <w:i/>
          <w:iCs/>
        </w:rPr>
        <w:t>Ward v. Rock Against Racism</w:t>
      </w:r>
      <w:r>
        <w:t xml:space="preserve">, 491 U.S. 781, 791 (1989). Advocacy itself is protected unless it is directed to inciting imminent lawless action and is likely to do so. See </w:t>
      </w:r>
      <w:r>
        <w:rPr>
          <w:i/>
          <w:iCs/>
        </w:rPr>
        <w:t>Brandenburg v. Ohio</w:t>
      </w:r>
      <w:r>
        <w:t>, 395 U.S. 444, 447 (1969) (per curiam).</w:t>
      </w:r>
    </w:p>
  </w:endnote>
  <w:endnote w:id="17">
    <w:p w14:paraId="21F23009" w14:textId="77777777" w:rsidR="000B1A54" w:rsidRDefault="00000000">
      <w:pPr>
        <w:pStyle w:val="EndnoteText"/>
        <w:rPr>
          <w:lang w:val="en-CA"/>
        </w:rPr>
      </w:pPr>
      <w:r>
        <w:rPr>
          <w:rStyle w:val="EndnoteReference"/>
        </w:rPr>
        <w:endnoteRef/>
      </w:r>
      <w:r>
        <w:t xml:space="preserve"> In France, Article 11 of the </w:t>
      </w:r>
      <w:proofErr w:type="spellStart"/>
      <w:r>
        <w:rPr>
          <w:i/>
          <w:iCs/>
        </w:rPr>
        <w:t>Déclaration</w:t>
      </w:r>
      <w:proofErr w:type="spellEnd"/>
      <w:r>
        <w:rPr>
          <w:i/>
          <w:iCs/>
        </w:rPr>
        <w:t xml:space="preserve"> des droits de </w:t>
      </w:r>
      <w:proofErr w:type="spellStart"/>
      <w:r>
        <w:rPr>
          <w:i/>
          <w:iCs/>
        </w:rPr>
        <w:t>l’homme</w:t>
      </w:r>
      <w:proofErr w:type="spellEnd"/>
      <w:r>
        <w:rPr>
          <w:i/>
          <w:iCs/>
        </w:rPr>
        <w:t xml:space="preserve"> et du </w:t>
      </w:r>
      <w:proofErr w:type="spellStart"/>
      <w:r>
        <w:rPr>
          <w:i/>
          <w:iCs/>
        </w:rPr>
        <w:t>citoyen</w:t>
      </w:r>
      <w:proofErr w:type="spellEnd"/>
      <w:r>
        <w:t xml:space="preserve"> (1789) holds that “the free communication of thoughts and opinions is one of the most precious rights of man.” The Conseil </w:t>
      </w:r>
      <w:proofErr w:type="spellStart"/>
      <w:r>
        <w:t>constitutionnel</w:t>
      </w:r>
      <w:proofErr w:type="spellEnd"/>
      <w:r>
        <w:t xml:space="preserve"> has recognized a “droit </w:t>
      </w:r>
      <w:proofErr w:type="spellStart"/>
      <w:r>
        <w:t>d’expression</w:t>
      </w:r>
      <w:proofErr w:type="spellEnd"/>
      <w:r>
        <w:t xml:space="preserve"> collective des </w:t>
      </w:r>
      <w:proofErr w:type="spellStart"/>
      <w:r>
        <w:t>idées</w:t>
      </w:r>
      <w:proofErr w:type="spellEnd"/>
      <w:r>
        <w:t xml:space="preserve"> et des opinions” that extends to public demonstration. See Conseil </w:t>
      </w:r>
      <w:proofErr w:type="spellStart"/>
      <w:r>
        <w:t>constitutionnel</w:t>
      </w:r>
      <w:proofErr w:type="spellEnd"/>
      <w:r>
        <w:t xml:space="preserve">, </w:t>
      </w:r>
      <w:proofErr w:type="spellStart"/>
      <w:r>
        <w:t>Décision</w:t>
      </w:r>
      <w:proofErr w:type="spellEnd"/>
      <w:r>
        <w:t xml:space="preserve"> no. 94-352 DC, January 18, 1995. In 2019 it struck down a provision of the so-called </w:t>
      </w:r>
      <w:proofErr w:type="spellStart"/>
      <w:r>
        <w:rPr>
          <w:i/>
          <w:iCs/>
        </w:rPr>
        <w:t>loi</w:t>
      </w:r>
      <w:proofErr w:type="spellEnd"/>
      <w:r>
        <w:rPr>
          <w:i/>
          <w:iCs/>
        </w:rPr>
        <w:t xml:space="preserve"> </w:t>
      </w:r>
      <w:proofErr w:type="spellStart"/>
      <w:r>
        <w:rPr>
          <w:i/>
          <w:iCs/>
        </w:rPr>
        <w:t>anticasseurs</w:t>
      </w:r>
      <w:proofErr w:type="spellEnd"/>
      <w:r>
        <w:t xml:space="preserve"> that would have allowed prefects to bar individuals from demonstrating. See </w:t>
      </w:r>
      <w:proofErr w:type="spellStart"/>
      <w:r>
        <w:t>Décision</w:t>
      </w:r>
      <w:proofErr w:type="spellEnd"/>
      <w:r>
        <w:t xml:space="preserve"> no. 2019-780 DC, April 4, 2019. Demonstrations on the public way require prior declaration to the authorities, not permission. See </w:t>
      </w:r>
      <w:r>
        <w:rPr>
          <w:i/>
          <w:iCs/>
        </w:rPr>
        <w:t xml:space="preserve">Code de la sécurité </w:t>
      </w:r>
      <w:proofErr w:type="spellStart"/>
      <w:r>
        <w:rPr>
          <w:i/>
          <w:iCs/>
        </w:rPr>
        <w:t>intérieure</w:t>
      </w:r>
      <w:proofErr w:type="spellEnd"/>
      <w:r>
        <w:t>, art. L211-1. France is also bound by Article 11 of the European Convention on Human Rights, which protects freedom of peaceful assembly.</w:t>
      </w:r>
    </w:p>
  </w:endnote>
  <w:endnote w:id="18">
    <w:p w14:paraId="63297E04" w14:textId="77777777" w:rsidR="000B1A54" w:rsidRDefault="00000000">
      <w:pPr>
        <w:pStyle w:val="EndnoteText"/>
        <w:rPr>
          <w:lang w:val="en-CA"/>
        </w:rPr>
      </w:pPr>
      <w:r>
        <w:rPr>
          <w:rStyle w:val="EndnoteReference"/>
        </w:rPr>
        <w:endnoteRef/>
      </w:r>
      <w:r>
        <w:t xml:space="preserve"> </w:t>
      </w:r>
      <w:r>
        <w:rPr>
          <w:i/>
          <w:iCs/>
        </w:rPr>
        <w:t>Critical Infrastructure Defence Act</w:t>
      </w:r>
      <w:r>
        <w:t>, SA 2020, c C-32.7, s 2(1).</w:t>
      </w:r>
    </w:p>
  </w:endnote>
  <w:endnote w:id="19">
    <w:p w14:paraId="49D45ADC" w14:textId="77777777" w:rsidR="000B1A54" w:rsidRDefault="00000000">
      <w:pPr>
        <w:pStyle w:val="EndnoteText"/>
        <w:rPr>
          <w:lang w:val="en-CA"/>
        </w:rPr>
      </w:pPr>
      <w:r>
        <w:rPr>
          <w:rStyle w:val="EndnoteReference"/>
        </w:rPr>
        <w:endnoteRef/>
      </w:r>
      <w:r>
        <w:t xml:space="preserve"> In December 2019 the Supreme Court of British Columbia granted Coastal GasLink an interlocutory injunction against the blockades on Wet’suwet’en territory, an order that remains in place while the court decides the merits of the case. See </w:t>
      </w:r>
      <w:r>
        <w:rPr>
          <w:i/>
          <w:iCs/>
        </w:rPr>
        <w:t>Coastal GasLink Pipeline Ltd. v. Huson</w:t>
      </w:r>
      <w:r>
        <w:t xml:space="preserve">, 2019 BCSC 2264. The hereditary chiefs, who assert title to the unceded land, served the company with an eviction notice under Wet’suwet’en law and then proposed talks with the province to avoid enforcement. Those talks ended on February 4, 2020, without agreement. Chief Woos (Frank Alec) warned that enforcement was “imminent,” and British Columbia’s minister of Indigenous relations, Scott Fraser, said the parties “came together in good faith to try to find a way forward.” See Canadian Press, “Talks with Wet’suwet’en over Pipeline ‘Not Successful,’ Province Says,” </w:t>
      </w:r>
      <w:r>
        <w:rPr>
          <w:i/>
          <w:iCs/>
        </w:rPr>
        <w:t>CFJC Today</w:t>
      </w:r>
      <w:r>
        <w:t>, February 5, 2020. The RCMP began enforcing the injunction days later.</w:t>
      </w:r>
    </w:p>
  </w:endnote>
  <w:endnote w:id="20">
    <w:p w14:paraId="72AE89FA" w14:textId="77777777" w:rsidR="000B1A54" w:rsidRDefault="00000000">
      <w:pPr>
        <w:pStyle w:val="EndnoteText"/>
        <w:rPr>
          <w:lang w:val="en-CA"/>
        </w:rPr>
      </w:pPr>
      <w:r>
        <w:rPr>
          <w:rStyle w:val="EndnoteReference"/>
        </w:rPr>
        <w:endnoteRef/>
      </w:r>
      <w:r>
        <w:t xml:space="preserve"> Recognizing that a party has real reasons for acting is not the same as endorsing what it does. One can accept that the state has reasons for its actions and still hold that those actions, as the Wet’suwet’en understand them (and perhaps under their law), are mistaken. The two commitments are consistent.</w:t>
      </w:r>
    </w:p>
  </w:endnote>
  <w:endnote w:id="21">
    <w:p w14:paraId="2CF036C7" w14:textId="77777777" w:rsidR="000B1A54" w:rsidRDefault="00000000">
      <w:pPr>
        <w:pStyle w:val="EndnoteText"/>
        <w:rPr>
          <w:lang w:val="en-CA"/>
        </w:rPr>
      </w:pPr>
      <w:r>
        <w:rPr>
          <w:rStyle w:val="EndnoteReference"/>
        </w:rPr>
        <w:endnoteRef/>
      </w:r>
      <w:r>
        <w:t xml:space="preserve"> Bill 21, </w:t>
      </w:r>
      <w:r>
        <w:rPr>
          <w:i/>
          <w:iCs/>
        </w:rPr>
        <w:t>An Act respecting the laicity of the State</w:t>
      </w:r>
      <w:r>
        <w:t>, 1st Sess., 42nd Leg., Québec, 2019, explanatory notes (introduced by Simon Jolin-Barrette, Minister of Immigration, Diversity and Inclusiveness; Québec: Québec Official Publisher, 2019), 2.</w:t>
      </w:r>
    </w:p>
  </w:endnote>
  <w:endnote w:id="22">
    <w:p w14:paraId="16724CFB" w14:textId="77777777" w:rsidR="000B1A54" w:rsidRDefault="00000000">
      <w:pPr>
        <w:pStyle w:val="EndnoteText"/>
        <w:rPr>
          <w:lang w:val="en-CA"/>
        </w:rPr>
      </w:pPr>
      <w:r>
        <w:rPr>
          <w:rStyle w:val="EndnoteReference"/>
        </w:rPr>
        <w:endnoteRef/>
      </w:r>
      <w:r>
        <w:t xml:space="preserve"> Bill 21, explanatory notes, 2.</w:t>
      </w:r>
    </w:p>
  </w:endnote>
  <w:endnote w:id="23">
    <w:p w14:paraId="3A00071C" w14:textId="77777777" w:rsidR="000B1A54" w:rsidRDefault="00000000">
      <w:pPr>
        <w:pStyle w:val="EndnoteText"/>
        <w:rPr>
          <w:lang w:val="en-CA"/>
        </w:rPr>
      </w:pPr>
      <w:r>
        <w:rPr>
          <w:rStyle w:val="EndnoteReference"/>
        </w:rPr>
        <w:endnoteRef/>
      </w:r>
      <w:r>
        <w:t xml:space="preserve"> </w:t>
      </w:r>
      <w:proofErr w:type="spellStart"/>
      <w:r>
        <w:t>Ichrak</w:t>
      </w:r>
      <w:proofErr w:type="spellEnd"/>
      <w:r>
        <w:t xml:space="preserve"> </w:t>
      </w:r>
      <w:proofErr w:type="spellStart"/>
      <w:r>
        <w:t>Nourel</w:t>
      </w:r>
      <w:proofErr w:type="spellEnd"/>
      <w:r>
        <w:t xml:space="preserve"> Hak et al., Appellants’ Factum, </w:t>
      </w:r>
      <w:r>
        <w:rPr>
          <w:i/>
          <w:iCs/>
        </w:rPr>
        <w:t>Hak v. Attorney General of Québec</w:t>
      </w:r>
      <w:r>
        <w:t xml:space="preserve">, Supreme Court of Canada, File No. 41231, April 22, 2025, para. 90, noting that every person who lost or was denied a teaching position under the Act was a Muslim woman. The trial judge found that the Act has “des </w:t>
      </w:r>
      <w:proofErr w:type="spellStart"/>
      <w:r>
        <w:t>conséquences</w:t>
      </w:r>
      <w:proofErr w:type="spellEnd"/>
      <w:r>
        <w:t xml:space="preserve"> </w:t>
      </w:r>
      <w:proofErr w:type="spellStart"/>
      <w:r>
        <w:t>disproportionnées</w:t>
      </w:r>
      <w:proofErr w:type="spellEnd"/>
      <w:r>
        <w:t xml:space="preserve">” for this group. See </w:t>
      </w:r>
      <w:r>
        <w:rPr>
          <w:i/>
          <w:iCs/>
        </w:rPr>
        <w:t xml:space="preserve">Hak v. Procureur </w:t>
      </w:r>
      <w:proofErr w:type="spellStart"/>
      <w:r>
        <w:rPr>
          <w:i/>
          <w:iCs/>
        </w:rPr>
        <w:t>général</w:t>
      </w:r>
      <w:proofErr w:type="spellEnd"/>
      <w:r>
        <w:rPr>
          <w:i/>
          <w:iCs/>
        </w:rPr>
        <w:t xml:space="preserve"> du Québec</w:t>
      </w:r>
      <w:r>
        <w:t>, 2021 QCCS 1466, para. 68.</w:t>
      </w:r>
    </w:p>
  </w:endnote>
  <w:endnote w:id="24">
    <w:p w14:paraId="2E1D936A" w14:textId="77777777" w:rsidR="000B1A54" w:rsidRDefault="00000000">
      <w:pPr>
        <w:pStyle w:val="EndnoteText"/>
        <w:rPr>
          <w:lang w:val="en-CA"/>
        </w:rPr>
      </w:pPr>
      <w:r>
        <w:rPr>
          <w:rStyle w:val="EndnoteReference"/>
        </w:rPr>
        <w:endnoteRef/>
      </w:r>
      <w:r>
        <w:t xml:space="preserve"> </w:t>
      </w:r>
      <w:r>
        <w:rPr>
          <w:i/>
          <w:iCs/>
        </w:rPr>
        <w:t>Act respecting the laicity of the State</w:t>
      </w:r>
      <w:r>
        <w:t>, CQLR c L-0.3, s. 34.</w:t>
      </w:r>
    </w:p>
  </w:endnote>
  <w:endnote w:id="25">
    <w:p w14:paraId="3FAD25F8" w14:textId="77777777" w:rsidR="000B1A54" w:rsidRDefault="00000000">
      <w:pPr>
        <w:pStyle w:val="EndnoteText"/>
        <w:rPr>
          <w:lang w:val="en-CA"/>
        </w:rPr>
      </w:pPr>
      <w:r>
        <w:rPr>
          <w:rStyle w:val="EndnoteReference"/>
        </w:rPr>
        <w:endnoteRef/>
      </w:r>
      <w:r>
        <w:t xml:space="preserve"> </w:t>
      </w:r>
      <w:r>
        <w:rPr>
          <w:i/>
          <w:iCs/>
        </w:rPr>
        <w:t>An Act to enable the Parliament of Québec to preserve the principle of parliamentary sovereignty with respect to the Act respecting the laicity of the State</w:t>
      </w:r>
      <w:r>
        <w:t>, SQ 2024, c. 12 (Bill 52, assented to May 7, 2024).</w:t>
      </w:r>
    </w:p>
  </w:endnote>
  <w:endnote w:id="26">
    <w:p w14:paraId="70967A7A" w14:textId="77777777" w:rsidR="000B1A54" w:rsidRDefault="00000000">
      <w:pPr>
        <w:pStyle w:val="EndnoteText"/>
        <w:rPr>
          <w:lang w:val="en-CA"/>
        </w:rPr>
      </w:pPr>
      <w:r>
        <w:rPr>
          <w:rStyle w:val="EndnoteReference"/>
        </w:rPr>
        <w:endnoteRef/>
      </w:r>
      <w:r>
        <w:t xml:space="preserve"> </w:t>
      </w:r>
      <w:r>
        <w:rPr>
          <w:i/>
          <w:iCs/>
        </w:rPr>
        <w:t>English Montreal School Board et al. v. Attorney General of Quebec et al.</w:t>
      </w:r>
      <w:r>
        <w:t xml:space="preserve"> (formerly </w:t>
      </w:r>
      <w:r>
        <w:rPr>
          <w:i/>
          <w:iCs/>
        </w:rPr>
        <w:t>Hak v. Attorney General of Québec</w:t>
      </w:r>
      <w:r>
        <w:t xml:space="preserve">), Supreme Court of Canada, File No. 41231 (heard March 23–26, 2026; judgment reserved), on appeal from </w:t>
      </w:r>
      <w:proofErr w:type="spellStart"/>
      <w:r>
        <w:rPr>
          <w:i/>
          <w:iCs/>
        </w:rPr>
        <w:t>Organisation</w:t>
      </w:r>
      <w:proofErr w:type="spellEnd"/>
      <w:r>
        <w:rPr>
          <w:i/>
          <w:iCs/>
        </w:rPr>
        <w:t xml:space="preserve"> </w:t>
      </w:r>
      <w:proofErr w:type="spellStart"/>
      <w:r>
        <w:rPr>
          <w:i/>
          <w:iCs/>
        </w:rPr>
        <w:t>mondiale</w:t>
      </w:r>
      <w:proofErr w:type="spellEnd"/>
      <w:r>
        <w:rPr>
          <w:i/>
          <w:iCs/>
        </w:rPr>
        <w:t xml:space="preserve"> </w:t>
      </w:r>
      <w:proofErr w:type="spellStart"/>
      <w:r>
        <w:rPr>
          <w:i/>
          <w:iCs/>
        </w:rPr>
        <w:t>sikhe</w:t>
      </w:r>
      <w:proofErr w:type="spellEnd"/>
      <w:r>
        <w:rPr>
          <w:i/>
          <w:iCs/>
        </w:rPr>
        <w:t xml:space="preserve"> du Canada c. Procureur </w:t>
      </w:r>
      <w:proofErr w:type="spellStart"/>
      <w:r>
        <w:rPr>
          <w:i/>
          <w:iCs/>
        </w:rPr>
        <w:t>général</w:t>
      </w:r>
      <w:proofErr w:type="spellEnd"/>
      <w:r>
        <w:rPr>
          <w:i/>
          <w:iCs/>
        </w:rPr>
        <w:t xml:space="preserve"> du Québec</w:t>
      </w:r>
      <w:r>
        <w:t>, 2024 QCCA 254.</w:t>
      </w:r>
    </w:p>
  </w:endnote>
  <w:endnote w:id="27">
    <w:p w14:paraId="57E57CED" w14:textId="77777777" w:rsidR="000B1A54" w:rsidRDefault="00000000">
      <w:pPr>
        <w:pStyle w:val="EndnoteText"/>
        <w:rPr>
          <w:lang w:val="en-CA"/>
        </w:rPr>
      </w:pPr>
      <w:r>
        <w:rPr>
          <w:rStyle w:val="EndnoteReference"/>
        </w:rPr>
        <w:endnoteRef/>
      </w:r>
      <w:r>
        <w:t xml:space="preserve"> Raz, “Problem of Authority,” 1016.</w:t>
      </w:r>
    </w:p>
  </w:endnote>
  <w:endnote w:id="28">
    <w:p w14:paraId="19F66B70" w14:textId="77777777" w:rsidR="000B1A54" w:rsidRDefault="00000000">
      <w:pPr>
        <w:pStyle w:val="EndnoteText"/>
        <w:rPr>
          <w:lang w:val="en-CA"/>
        </w:rPr>
      </w:pPr>
      <w:r>
        <w:rPr>
          <w:rStyle w:val="EndnoteReference"/>
        </w:rPr>
        <w:endnoteRef/>
      </w:r>
      <w:r>
        <w:t xml:space="preserve"> Raz, “Problem of Authority,” 1027.</w:t>
      </w:r>
    </w:p>
  </w:endnote>
  <w:endnote w:id="29">
    <w:p w14:paraId="1D846B46" w14:textId="77777777" w:rsidR="000B1A54" w:rsidRDefault="00000000">
      <w:pPr>
        <w:pStyle w:val="EndnoteText"/>
        <w:rPr>
          <w:lang w:val="en-CA"/>
        </w:rPr>
      </w:pPr>
      <w:r>
        <w:rPr>
          <w:rStyle w:val="EndnoteReference"/>
        </w:rPr>
        <w:endnoteRef/>
      </w:r>
      <w:r>
        <w:t xml:space="preserve"> W.J. Coats, “Michael Oakeshott on the Role of General Ideas and Purposes in Accounting for the Authority of the Modern State,” in this volume.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349692" w14:textId="77777777" w:rsidR="00F6587A" w:rsidRDefault="00F6587A" w:rsidP="002D3510">
      <w:pPr>
        <w:spacing w:line="240" w:lineRule="auto"/>
      </w:pPr>
      <w:r>
        <w:separator/>
      </w:r>
    </w:p>
  </w:footnote>
  <w:footnote w:type="continuationSeparator" w:id="0">
    <w:p w14:paraId="5A8A1744" w14:textId="77777777" w:rsidR="00F6587A" w:rsidRDefault="00F6587A" w:rsidP="002D351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7840A0"/>
    <w:multiLevelType w:val="multilevel"/>
    <w:tmpl w:val="1912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95708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510"/>
    <w:rsid w:val="00006DCD"/>
    <w:rsid w:val="00011319"/>
    <w:rsid w:val="00020870"/>
    <w:rsid w:val="00020D89"/>
    <w:rsid w:val="00041356"/>
    <w:rsid w:val="00050E07"/>
    <w:rsid w:val="000729E3"/>
    <w:rsid w:val="000A74FF"/>
    <w:rsid w:val="000B1A54"/>
    <w:rsid w:val="000D3869"/>
    <w:rsid w:val="000F3F0F"/>
    <w:rsid w:val="00113A9D"/>
    <w:rsid w:val="0011569F"/>
    <w:rsid w:val="00147A91"/>
    <w:rsid w:val="00156B3B"/>
    <w:rsid w:val="001707CE"/>
    <w:rsid w:val="00177061"/>
    <w:rsid w:val="001816B9"/>
    <w:rsid w:val="00182E3A"/>
    <w:rsid w:val="00196780"/>
    <w:rsid w:val="001E7909"/>
    <w:rsid w:val="001E7D7F"/>
    <w:rsid w:val="00237852"/>
    <w:rsid w:val="0028539B"/>
    <w:rsid w:val="00291C0C"/>
    <w:rsid w:val="002A3371"/>
    <w:rsid w:val="002A5BA3"/>
    <w:rsid w:val="002D3510"/>
    <w:rsid w:val="0030483E"/>
    <w:rsid w:val="00310647"/>
    <w:rsid w:val="00332A40"/>
    <w:rsid w:val="00333C60"/>
    <w:rsid w:val="00347FA3"/>
    <w:rsid w:val="0035137C"/>
    <w:rsid w:val="00352773"/>
    <w:rsid w:val="00360692"/>
    <w:rsid w:val="003730E7"/>
    <w:rsid w:val="00382317"/>
    <w:rsid w:val="003A1246"/>
    <w:rsid w:val="003A4831"/>
    <w:rsid w:val="003A71D0"/>
    <w:rsid w:val="003C2F46"/>
    <w:rsid w:val="003E094E"/>
    <w:rsid w:val="003E79D1"/>
    <w:rsid w:val="003F193A"/>
    <w:rsid w:val="003F1B3E"/>
    <w:rsid w:val="00401519"/>
    <w:rsid w:val="0040702A"/>
    <w:rsid w:val="00431B53"/>
    <w:rsid w:val="00447A7F"/>
    <w:rsid w:val="004527BA"/>
    <w:rsid w:val="00452AB6"/>
    <w:rsid w:val="00472EBD"/>
    <w:rsid w:val="00493C0B"/>
    <w:rsid w:val="00497920"/>
    <w:rsid w:val="004B2646"/>
    <w:rsid w:val="004D3C3B"/>
    <w:rsid w:val="004E62A9"/>
    <w:rsid w:val="004E632C"/>
    <w:rsid w:val="004F095D"/>
    <w:rsid w:val="004F5766"/>
    <w:rsid w:val="00503E8A"/>
    <w:rsid w:val="00506F84"/>
    <w:rsid w:val="00526671"/>
    <w:rsid w:val="00530816"/>
    <w:rsid w:val="005360BC"/>
    <w:rsid w:val="005527C4"/>
    <w:rsid w:val="0056087D"/>
    <w:rsid w:val="00575C38"/>
    <w:rsid w:val="00584B18"/>
    <w:rsid w:val="005A0D0D"/>
    <w:rsid w:val="005A6B39"/>
    <w:rsid w:val="005C153F"/>
    <w:rsid w:val="005D204B"/>
    <w:rsid w:val="005D4CCE"/>
    <w:rsid w:val="005E3876"/>
    <w:rsid w:val="00643331"/>
    <w:rsid w:val="00647A2C"/>
    <w:rsid w:val="0068422E"/>
    <w:rsid w:val="00686FC4"/>
    <w:rsid w:val="006B11F3"/>
    <w:rsid w:val="006C2CF0"/>
    <w:rsid w:val="006C52AF"/>
    <w:rsid w:val="006E3803"/>
    <w:rsid w:val="0070119A"/>
    <w:rsid w:val="00703289"/>
    <w:rsid w:val="0070508C"/>
    <w:rsid w:val="00706603"/>
    <w:rsid w:val="007234A2"/>
    <w:rsid w:val="007654A8"/>
    <w:rsid w:val="007868AB"/>
    <w:rsid w:val="007A1B5B"/>
    <w:rsid w:val="007C6F8F"/>
    <w:rsid w:val="007F0DF7"/>
    <w:rsid w:val="007F366C"/>
    <w:rsid w:val="00800394"/>
    <w:rsid w:val="00816D8B"/>
    <w:rsid w:val="00824E8D"/>
    <w:rsid w:val="00835FFB"/>
    <w:rsid w:val="00861B6A"/>
    <w:rsid w:val="00863C15"/>
    <w:rsid w:val="0088334C"/>
    <w:rsid w:val="008C0450"/>
    <w:rsid w:val="008F085D"/>
    <w:rsid w:val="008F6BD7"/>
    <w:rsid w:val="009027FF"/>
    <w:rsid w:val="00930A50"/>
    <w:rsid w:val="00940406"/>
    <w:rsid w:val="009566DA"/>
    <w:rsid w:val="00987DBB"/>
    <w:rsid w:val="009925D4"/>
    <w:rsid w:val="009D4D14"/>
    <w:rsid w:val="009D6343"/>
    <w:rsid w:val="00A338F9"/>
    <w:rsid w:val="00A508DA"/>
    <w:rsid w:val="00A5578C"/>
    <w:rsid w:val="00A63FAD"/>
    <w:rsid w:val="00A75FAE"/>
    <w:rsid w:val="00A908F8"/>
    <w:rsid w:val="00AB47A6"/>
    <w:rsid w:val="00AC4BEB"/>
    <w:rsid w:val="00AC77BB"/>
    <w:rsid w:val="00AD307A"/>
    <w:rsid w:val="00AE07A8"/>
    <w:rsid w:val="00AE4CC1"/>
    <w:rsid w:val="00AF23D7"/>
    <w:rsid w:val="00B01F45"/>
    <w:rsid w:val="00B12F8E"/>
    <w:rsid w:val="00B30F93"/>
    <w:rsid w:val="00B3640D"/>
    <w:rsid w:val="00B50547"/>
    <w:rsid w:val="00B54F84"/>
    <w:rsid w:val="00B653DC"/>
    <w:rsid w:val="00BA4590"/>
    <w:rsid w:val="00BB4136"/>
    <w:rsid w:val="00BF7440"/>
    <w:rsid w:val="00BF744E"/>
    <w:rsid w:val="00C15306"/>
    <w:rsid w:val="00C63CF0"/>
    <w:rsid w:val="00C65496"/>
    <w:rsid w:val="00C74FF4"/>
    <w:rsid w:val="00C8116C"/>
    <w:rsid w:val="00CB24CE"/>
    <w:rsid w:val="00CD49D3"/>
    <w:rsid w:val="00CE38BD"/>
    <w:rsid w:val="00CF192C"/>
    <w:rsid w:val="00CF3C8C"/>
    <w:rsid w:val="00CF49AA"/>
    <w:rsid w:val="00D0278A"/>
    <w:rsid w:val="00D17232"/>
    <w:rsid w:val="00D2772D"/>
    <w:rsid w:val="00D27D6A"/>
    <w:rsid w:val="00D30A7D"/>
    <w:rsid w:val="00D44010"/>
    <w:rsid w:val="00D769BA"/>
    <w:rsid w:val="00DA72D0"/>
    <w:rsid w:val="00DA7D4A"/>
    <w:rsid w:val="00DE193F"/>
    <w:rsid w:val="00DE256C"/>
    <w:rsid w:val="00DF4FDA"/>
    <w:rsid w:val="00E01267"/>
    <w:rsid w:val="00E13E1B"/>
    <w:rsid w:val="00E30346"/>
    <w:rsid w:val="00E510BB"/>
    <w:rsid w:val="00EB377E"/>
    <w:rsid w:val="00ED1519"/>
    <w:rsid w:val="00EE45C7"/>
    <w:rsid w:val="00F459CC"/>
    <w:rsid w:val="00F63C2D"/>
    <w:rsid w:val="00F6587A"/>
    <w:rsid w:val="00F66E8C"/>
    <w:rsid w:val="00F67659"/>
    <w:rsid w:val="00F83991"/>
    <w:rsid w:val="00F94EA6"/>
    <w:rsid w:val="00F9749C"/>
    <w:rsid w:val="00FA200C"/>
    <w:rsid w:val="00FA2050"/>
    <w:rsid w:val="00FA333B"/>
    <w:rsid w:val="00FC7467"/>
    <w:rsid w:val="00FC7A07"/>
    <w:rsid w:val="00FF49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71AB830"/>
  <w15:chartTrackingRefBased/>
  <w15:docId w15:val="{F92E794D-CBB4-A84A-B255-D18C7C5DB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imes New Roman"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510"/>
    <w:pPr>
      <w:spacing w:after="0" w:line="360" w:lineRule="auto"/>
    </w:pPr>
    <w:rPr>
      <w:rFonts w:ascii="Times New Roman" w:eastAsiaTheme="minorHAnsi" w:hAnsi="Times New Roman" w:cs="Times New Roman (Body CS)"/>
      <w:lang w:val="en-US"/>
    </w:rPr>
  </w:style>
  <w:style w:type="paragraph" w:styleId="Heading1">
    <w:name w:val="heading 1"/>
    <w:basedOn w:val="Normal"/>
    <w:next w:val="BodyText"/>
    <w:link w:val="Heading1Char"/>
    <w:autoRedefine/>
    <w:qFormat/>
    <w:rsid w:val="00B3640D"/>
    <w:pPr>
      <w:keepNext/>
      <w:keepLines/>
      <w:spacing w:before="480" w:line="240" w:lineRule="auto"/>
      <w:jc w:val="center"/>
      <w:outlineLvl w:val="0"/>
    </w:pPr>
    <w:rPr>
      <w:rFonts w:eastAsiaTheme="majorEastAsia" w:cstheme="majorBidi"/>
      <w:b/>
      <w:bCs/>
      <w:color w:val="156082" w:themeColor="accent1"/>
      <w:kern w:val="0"/>
      <w:sz w:val="28"/>
      <w:szCs w:val="32"/>
      <w:lang w:val="en-GB"/>
      <w14:ligatures w14:val="none"/>
    </w:rPr>
  </w:style>
  <w:style w:type="paragraph" w:styleId="Heading2">
    <w:name w:val="heading 2"/>
    <w:basedOn w:val="Normal"/>
    <w:next w:val="BodyText"/>
    <w:link w:val="Heading2Char"/>
    <w:autoRedefine/>
    <w:uiPriority w:val="9"/>
    <w:unhideWhenUsed/>
    <w:qFormat/>
    <w:rsid w:val="003A71D0"/>
    <w:pPr>
      <w:keepNext/>
      <w:keepLines/>
      <w:spacing w:before="200" w:line="240" w:lineRule="auto"/>
      <w:outlineLvl w:val="1"/>
    </w:pPr>
    <w:rPr>
      <w:rFonts w:eastAsiaTheme="majorEastAsia" w:cstheme="majorBidi"/>
      <w:b/>
      <w:bCs/>
      <w:color w:val="156082" w:themeColor="accent1"/>
      <w:kern w:val="0"/>
      <w:szCs w:val="28"/>
      <w:lang w:val="en-GB"/>
      <w14:ligatures w14:val="none"/>
    </w:rPr>
  </w:style>
  <w:style w:type="paragraph" w:styleId="Heading3">
    <w:name w:val="heading 3"/>
    <w:basedOn w:val="Normal"/>
    <w:next w:val="Normal"/>
    <w:link w:val="Heading3Char"/>
    <w:autoRedefine/>
    <w:uiPriority w:val="9"/>
    <w:unhideWhenUsed/>
    <w:qFormat/>
    <w:rsid w:val="00D769BA"/>
    <w:pPr>
      <w:keepNext/>
      <w:keepLines/>
      <w:spacing w:before="160" w:after="80"/>
      <w:outlineLvl w:val="2"/>
    </w:pPr>
    <w:rPr>
      <w:rFonts w:eastAsia="Times New Roman" w:cstheme="majorBidi"/>
      <w:color w:val="0F4761" w:themeColor="accent1" w:themeShade="BF"/>
      <w:kern w:val="0"/>
      <w:lang w:val="en-GB"/>
      <w14:ligatures w14:val="none"/>
    </w:rPr>
  </w:style>
  <w:style w:type="paragraph" w:styleId="Heading4">
    <w:name w:val="heading 4"/>
    <w:basedOn w:val="Normal"/>
    <w:next w:val="Normal"/>
    <w:link w:val="Heading4Char"/>
    <w:uiPriority w:val="9"/>
    <w:semiHidden/>
    <w:unhideWhenUsed/>
    <w:qFormat/>
    <w:rsid w:val="002D3510"/>
    <w:pPr>
      <w:keepNext/>
      <w:keepLines/>
      <w:spacing w:before="80" w:after="40"/>
      <w:outlineLvl w:val="3"/>
    </w:pPr>
    <w:rPr>
      <w:rFonts w:asciiTheme="minorHAnsi" w:eastAsiaTheme="majorEastAsia" w:hAnsiTheme="minorHAnsi" w:cstheme="majorBidi"/>
      <w:i/>
      <w:iCs/>
      <w:color w:val="0F4761" w:themeColor="accent1" w:themeShade="BF"/>
      <w:kern w:val="0"/>
      <w:lang w:val="en-GB"/>
      <w14:ligatures w14:val="none"/>
    </w:rPr>
  </w:style>
  <w:style w:type="paragraph" w:styleId="Heading5">
    <w:name w:val="heading 5"/>
    <w:basedOn w:val="Normal"/>
    <w:next w:val="Normal"/>
    <w:link w:val="Heading5Char"/>
    <w:uiPriority w:val="9"/>
    <w:semiHidden/>
    <w:unhideWhenUsed/>
    <w:qFormat/>
    <w:rsid w:val="00E01267"/>
    <w:pPr>
      <w:keepNext/>
      <w:keepLines/>
      <w:spacing w:before="80" w:after="40"/>
      <w:outlineLvl w:val="4"/>
    </w:pPr>
    <w:rPr>
      <w:rFonts w:eastAsiaTheme="majorEastAsia" w:cstheme="majorBidi"/>
      <w:color w:val="0F4761" w:themeColor="accent1" w:themeShade="BF"/>
      <w:kern w:val="0"/>
      <w:lang w:val="en-GB"/>
      <w14:ligatures w14:val="none"/>
    </w:rPr>
  </w:style>
  <w:style w:type="paragraph" w:styleId="Heading6">
    <w:name w:val="heading 6"/>
    <w:basedOn w:val="Normal"/>
    <w:next w:val="Normal"/>
    <w:link w:val="Heading6Char"/>
    <w:uiPriority w:val="9"/>
    <w:semiHidden/>
    <w:unhideWhenUsed/>
    <w:qFormat/>
    <w:rsid w:val="002D3510"/>
    <w:pPr>
      <w:keepNext/>
      <w:keepLines/>
      <w:spacing w:before="40"/>
      <w:outlineLvl w:val="5"/>
    </w:pPr>
    <w:rPr>
      <w:rFonts w:asciiTheme="minorHAnsi" w:eastAsiaTheme="majorEastAsia" w:hAnsiTheme="minorHAnsi" w:cstheme="majorBidi"/>
      <w:i/>
      <w:iCs/>
      <w:color w:val="595959" w:themeColor="text1" w:themeTint="A6"/>
      <w:kern w:val="0"/>
      <w:lang w:val="en-GB"/>
      <w14:ligatures w14:val="none"/>
    </w:rPr>
  </w:style>
  <w:style w:type="paragraph" w:styleId="Heading7">
    <w:name w:val="heading 7"/>
    <w:basedOn w:val="Normal"/>
    <w:next w:val="Normal"/>
    <w:link w:val="Heading7Char"/>
    <w:uiPriority w:val="9"/>
    <w:semiHidden/>
    <w:unhideWhenUsed/>
    <w:qFormat/>
    <w:rsid w:val="002D3510"/>
    <w:pPr>
      <w:keepNext/>
      <w:keepLines/>
      <w:spacing w:before="40"/>
      <w:outlineLvl w:val="6"/>
    </w:pPr>
    <w:rPr>
      <w:rFonts w:asciiTheme="minorHAnsi" w:eastAsiaTheme="majorEastAsia" w:hAnsiTheme="minorHAnsi" w:cstheme="majorBidi"/>
      <w:color w:val="595959" w:themeColor="text1" w:themeTint="A6"/>
      <w:kern w:val="0"/>
      <w:lang w:val="en-GB"/>
      <w14:ligatures w14:val="none"/>
    </w:rPr>
  </w:style>
  <w:style w:type="paragraph" w:styleId="Heading8">
    <w:name w:val="heading 8"/>
    <w:basedOn w:val="Normal"/>
    <w:next w:val="Normal"/>
    <w:link w:val="Heading8Char"/>
    <w:uiPriority w:val="9"/>
    <w:semiHidden/>
    <w:unhideWhenUsed/>
    <w:qFormat/>
    <w:rsid w:val="002D3510"/>
    <w:pPr>
      <w:keepNext/>
      <w:keepLines/>
      <w:outlineLvl w:val="7"/>
    </w:pPr>
    <w:rPr>
      <w:rFonts w:asciiTheme="minorHAnsi" w:eastAsiaTheme="majorEastAsia" w:hAnsiTheme="minorHAnsi" w:cstheme="majorBidi"/>
      <w:i/>
      <w:iCs/>
      <w:color w:val="272727" w:themeColor="text1" w:themeTint="D8"/>
      <w:kern w:val="0"/>
      <w:lang w:val="en-GB"/>
      <w14:ligatures w14:val="none"/>
    </w:rPr>
  </w:style>
  <w:style w:type="paragraph" w:styleId="Heading9">
    <w:name w:val="heading 9"/>
    <w:basedOn w:val="Normal"/>
    <w:next w:val="Normal"/>
    <w:link w:val="Heading9Char"/>
    <w:uiPriority w:val="9"/>
    <w:semiHidden/>
    <w:unhideWhenUsed/>
    <w:qFormat/>
    <w:rsid w:val="002D3510"/>
    <w:pPr>
      <w:keepNext/>
      <w:keepLines/>
      <w:outlineLvl w:val="8"/>
    </w:pPr>
    <w:rPr>
      <w:rFonts w:asciiTheme="minorHAnsi" w:eastAsiaTheme="majorEastAsia" w:hAnsiTheme="minorHAnsi" w:cstheme="majorBidi"/>
      <w:color w:val="272727" w:themeColor="text1" w:themeTint="D8"/>
      <w:kern w:val="0"/>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3640D"/>
    <w:rPr>
      <w:rFonts w:ascii="Times New Roman" w:eastAsiaTheme="majorEastAsia" w:hAnsi="Times New Roman" w:cstheme="majorBidi"/>
      <w:b/>
      <w:bCs/>
      <w:color w:val="156082" w:themeColor="accent1"/>
      <w:kern w:val="0"/>
      <w:sz w:val="28"/>
      <w:szCs w:val="32"/>
      <w:lang w:val="en-GB"/>
      <w14:ligatures w14:val="none"/>
    </w:rPr>
  </w:style>
  <w:style w:type="paragraph" w:customStyle="1" w:styleId="Author">
    <w:name w:val="Author"/>
    <w:basedOn w:val="Heading5"/>
    <w:autoRedefine/>
    <w:qFormat/>
    <w:rsid w:val="00D769BA"/>
    <w:pPr>
      <w:spacing w:line="240" w:lineRule="auto"/>
      <w:jc w:val="center"/>
    </w:pPr>
    <w:rPr>
      <w:sz w:val="28"/>
    </w:rPr>
  </w:style>
  <w:style w:type="character" w:customStyle="1" w:styleId="Heading5Char">
    <w:name w:val="Heading 5 Char"/>
    <w:basedOn w:val="DefaultParagraphFont"/>
    <w:link w:val="Heading5"/>
    <w:uiPriority w:val="9"/>
    <w:semiHidden/>
    <w:rsid w:val="00E01267"/>
    <w:rPr>
      <w:rFonts w:eastAsiaTheme="majorEastAsia" w:cstheme="majorBidi"/>
      <w:color w:val="0F4761" w:themeColor="accent1" w:themeShade="BF"/>
    </w:rPr>
  </w:style>
  <w:style w:type="character" w:customStyle="1" w:styleId="Heading3Char">
    <w:name w:val="Heading 3 Char"/>
    <w:basedOn w:val="DefaultParagraphFont"/>
    <w:link w:val="Heading3"/>
    <w:uiPriority w:val="9"/>
    <w:rsid w:val="00D769BA"/>
    <w:rPr>
      <w:rFonts w:ascii="Times New Roman" w:eastAsia="Times New Roman" w:hAnsi="Times New Roman" w:cstheme="majorBidi"/>
      <w:color w:val="0F4761" w:themeColor="accent1" w:themeShade="BF"/>
      <w:kern w:val="0"/>
      <w14:ligatures w14:val="none"/>
    </w:rPr>
  </w:style>
  <w:style w:type="paragraph" w:customStyle="1" w:styleId="AbstractBody">
    <w:name w:val="Abstract Body"/>
    <w:basedOn w:val="BodyText"/>
    <w:autoRedefine/>
    <w:qFormat/>
    <w:rsid w:val="00D769BA"/>
    <w:pPr>
      <w:spacing w:line="240" w:lineRule="auto"/>
    </w:pPr>
  </w:style>
  <w:style w:type="paragraph" w:styleId="BodyText">
    <w:name w:val="Body Text"/>
    <w:basedOn w:val="Normal"/>
    <w:link w:val="BodyTextChar"/>
    <w:autoRedefine/>
    <w:qFormat/>
    <w:rsid w:val="00F67659"/>
    <w:pPr>
      <w:ind w:firstLine="720"/>
    </w:pPr>
    <w:rPr>
      <w:rFonts w:cstheme="minorBidi"/>
      <w:kern w:val="0"/>
      <w:lang w:val="en-GB"/>
      <w14:ligatures w14:val="none"/>
    </w:rPr>
  </w:style>
  <w:style w:type="character" w:customStyle="1" w:styleId="BodyTextChar">
    <w:name w:val="Body Text Char"/>
    <w:basedOn w:val="DefaultParagraphFont"/>
    <w:link w:val="BodyText"/>
    <w:rsid w:val="00F67659"/>
    <w:rPr>
      <w:rFonts w:ascii="Times New Roman" w:eastAsiaTheme="minorHAnsi" w:hAnsi="Times New Roman"/>
      <w:kern w:val="0"/>
      <w:lang w:val="en-GB"/>
      <w14:ligatures w14:val="none"/>
    </w:rPr>
  </w:style>
  <w:style w:type="paragraph" w:styleId="Title">
    <w:name w:val="Title"/>
    <w:basedOn w:val="Normal"/>
    <w:next w:val="Normal"/>
    <w:link w:val="TitleChar"/>
    <w:autoRedefine/>
    <w:uiPriority w:val="10"/>
    <w:qFormat/>
    <w:rsid w:val="00011319"/>
    <w:pPr>
      <w:spacing w:line="240" w:lineRule="auto"/>
      <w:contextualSpacing/>
      <w:jc w:val="center"/>
    </w:pPr>
    <w:rPr>
      <w:rFonts w:eastAsiaTheme="majorEastAsia" w:cstheme="majorBidi"/>
      <w:spacing w:val="-10"/>
      <w:kern w:val="28"/>
      <w:sz w:val="32"/>
      <w:szCs w:val="56"/>
      <w:lang w:val="en-GB"/>
      <w14:ligatures w14:val="none"/>
    </w:rPr>
  </w:style>
  <w:style w:type="character" w:customStyle="1" w:styleId="TitleChar">
    <w:name w:val="Title Char"/>
    <w:basedOn w:val="DefaultParagraphFont"/>
    <w:link w:val="Title"/>
    <w:uiPriority w:val="10"/>
    <w:rsid w:val="00011319"/>
    <w:rPr>
      <w:rFonts w:eastAsiaTheme="majorEastAsia" w:cstheme="majorBidi"/>
      <w:spacing w:val="-10"/>
      <w:kern w:val="28"/>
      <w:sz w:val="32"/>
      <w:szCs w:val="56"/>
      <w:lang w:val="en-US"/>
    </w:rPr>
  </w:style>
  <w:style w:type="paragraph" w:customStyle="1" w:styleId="AuthorandAffiliation">
    <w:name w:val="Author and Affiliation"/>
    <w:basedOn w:val="Normal"/>
    <w:autoRedefine/>
    <w:qFormat/>
    <w:rsid w:val="00011319"/>
    <w:pPr>
      <w:spacing w:line="240" w:lineRule="auto"/>
      <w:jc w:val="center"/>
    </w:pPr>
    <w:rPr>
      <w:rFonts w:eastAsia="Times New Roman" w:cs="Times New Roman"/>
      <w:kern w:val="0"/>
      <w:lang w:val="en-GB"/>
      <w14:ligatures w14:val="none"/>
    </w:rPr>
  </w:style>
  <w:style w:type="paragraph" w:customStyle="1" w:styleId="Abstractastitle">
    <w:name w:val="Abstract (as title)"/>
    <w:basedOn w:val="Normal"/>
    <w:autoRedefine/>
    <w:qFormat/>
    <w:rsid w:val="00011319"/>
    <w:pPr>
      <w:suppressAutoHyphens/>
      <w:spacing w:after="240" w:line="240" w:lineRule="auto"/>
      <w:jc w:val="center"/>
    </w:pPr>
    <w:rPr>
      <w:rFonts w:eastAsia="Times New Roman" w:cs="Arial Unicode MS"/>
      <w:color w:val="000000" w:themeColor="text1"/>
      <w:kern w:val="0"/>
      <w:szCs w:val="37"/>
      <w:lang w:val="de-DE"/>
      <w14:textOutline w14:w="0" w14:cap="flat" w14:cmpd="sng" w14:algn="ctr">
        <w14:noFill/>
        <w14:prstDash w14:val="solid"/>
        <w14:bevel/>
      </w14:textOutline>
      <w14:ligatures w14:val="none"/>
    </w:rPr>
  </w:style>
  <w:style w:type="character" w:customStyle="1" w:styleId="Heading2Char">
    <w:name w:val="Heading 2 Char"/>
    <w:basedOn w:val="DefaultParagraphFont"/>
    <w:link w:val="Heading2"/>
    <w:uiPriority w:val="9"/>
    <w:rsid w:val="003A71D0"/>
    <w:rPr>
      <w:rFonts w:ascii="Times New Roman" w:eastAsiaTheme="majorEastAsia" w:hAnsi="Times New Roman" w:cstheme="majorBidi"/>
      <w:b/>
      <w:bCs/>
      <w:color w:val="156082" w:themeColor="accent1"/>
      <w:kern w:val="0"/>
      <w:szCs w:val="28"/>
      <w:lang w:val="en-GB"/>
      <w14:ligatures w14:val="none"/>
    </w:rPr>
  </w:style>
  <w:style w:type="paragraph" w:styleId="FootnoteText">
    <w:name w:val="footnote text"/>
    <w:basedOn w:val="Normal"/>
    <w:link w:val="FootnoteTextChar"/>
    <w:autoRedefine/>
    <w:uiPriority w:val="9"/>
    <w:unhideWhenUsed/>
    <w:qFormat/>
    <w:rsid w:val="00FF4923"/>
    <w:pPr>
      <w:spacing w:after="200" w:line="240" w:lineRule="auto"/>
    </w:pPr>
    <w:rPr>
      <w:rFonts w:eastAsia="Times New Roman" w:cstheme="minorBidi"/>
      <w:sz w:val="20"/>
      <w:lang w:val="en-GB"/>
    </w:rPr>
  </w:style>
  <w:style w:type="character" w:customStyle="1" w:styleId="FootnoteTextChar">
    <w:name w:val="Footnote Text Char"/>
    <w:basedOn w:val="DefaultParagraphFont"/>
    <w:link w:val="FootnoteText"/>
    <w:uiPriority w:val="9"/>
    <w:rsid w:val="00FF4923"/>
    <w:rPr>
      <w:rFonts w:ascii="Times New Roman" w:hAnsi="Times New Roman"/>
      <w:sz w:val="20"/>
      <w:lang w:val="en-GB"/>
    </w:rPr>
  </w:style>
  <w:style w:type="character" w:styleId="FootnoteReference">
    <w:name w:val="footnote reference"/>
    <w:basedOn w:val="DefaultParagraphFont"/>
    <w:qFormat/>
    <w:rsid w:val="0030483E"/>
    <w:rPr>
      <w:rFonts w:ascii="Times New Roman" w:hAnsi="Times New Roman"/>
      <w:sz w:val="22"/>
      <w:vertAlign w:val="superscript"/>
    </w:rPr>
  </w:style>
  <w:style w:type="paragraph" w:styleId="Quote">
    <w:name w:val="Quote"/>
    <w:basedOn w:val="Normal"/>
    <w:next w:val="Normal"/>
    <w:link w:val="QuoteChar"/>
    <w:autoRedefine/>
    <w:uiPriority w:val="29"/>
    <w:qFormat/>
    <w:rsid w:val="000F3F0F"/>
    <w:pPr>
      <w:spacing w:before="160" w:after="160" w:line="240" w:lineRule="auto"/>
      <w:ind w:left="720"/>
    </w:pPr>
    <w:rPr>
      <w:rFonts w:eastAsia="Times New Roman"/>
      <w:iCs/>
      <w:color w:val="404040" w:themeColor="text1" w:themeTint="BF"/>
      <w:sz w:val="20"/>
    </w:rPr>
  </w:style>
  <w:style w:type="character" w:customStyle="1" w:styleId="QuoteChar">
    <w:name w:val="Quote Char"/>
    <w:basedOn w:val="DefaultParagraphFont"/>
    <w:link w:val="Quote"/>
    <w:uiPriority w:val="29"/>
    <w:rsid w:val="000F3F0F"/>
    <w:rPr>
      <w:rFonts w:ascii="Times New Roman" w:hAnsi="Times New Roman" w:cs="Times New Roman (Body CS)"/>
      <w:iCs/>
      <w:color w:val="404040" w:themeColor="text1" w:themeTint="BF"/>
      <w:sz w:val="20"/>
      <w:lang w:val="en-US"/>
    </w:rPr>
  </w:style>
  <w:style w:type="character" w:customStyle="1" w:styleId="Heading4Char">
    <w:name w:val="Heading 4 Char"/>
    <w:basedOn w:val="DefaultParagraphFont"/>
    <w:link w:val="Heading4"/>
    <w:uiPriority w:val="9"/>
    <w:semiHidden/>
    <w:rsid w:val="002D3510"/>
    <w:rPr>
      <w:rFonts w:eastAsiaTheme="majorEastAsia" w:cstheme="majorBidi"/>
      <w:i/>
      <w:iCs/>
      <w:color w:val="0F4761" w:themeColor="accent1" w:themeShade="BF"/>
      <w:kern w:val="0"/>
      <w:lang w:val="en-GB"/>
      <w14:ligatures w14:val="none"/>
    </w:rPr>
  </w:style>
  <w:style w:type="character" w:customStyle="1" w:styleId="Heading6Char">
    <w:name w:val="Heading 6 Char"/>
    <w:basedOn w:val="DefaultParagraphFont"/>
    <w:link w:val="Heading6"/>
    <w:uiPriority w:val="9"/>
    <w:semiHidden/>
    <w:rsid w:val="002D3510"/>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2D3510"/>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2D3510"/>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2D3510"/>
    <w:rPr>
      <w:rFonts w:eastAsiaTheme="majorEastAsia" w:cstheme="majorBidi"/>
      <w:color w:val="272727" w:themeColor="text1" w:themeTint="D8"/>
      <w:kern w:val="0"/>
      <w:lang w:val="en-GB"/>
      <w14:ligatures w14:val="none"/>
    </w:rPr>
  </w:style>
  <w:style w:type="paragraph" w:styleId="Subtitle">
    <w:name w:val="Subtitle"/>
    <w:basedOn w:val="Normal"/>
    <w:next w:val="Normal"/>
    <w:link w:val="SubtitleChar"/>
    <w:uiPriority w:val="11"/>
    <w:qFormat/>
    <w:rsid w:val="002D3510"/>
    <w:pPr>
      <w:numPr>
        <w:ilvl w:val="1"/>
      </w:numPr>
      <w:spacing w:after="160"/>
    </w:pPr>
    <w:rPr>
      <w:rFonts w:asciiTheme="minorHAnsi" w:eastAsiaTheme="majorEastAsia" w:hAnsiTheme="minorHAnsi" w:cstheme="majorBidi"/>
      <w:color w:val="595959" w:themeColor="text1" w:themeTint="A6"/>
      <w:spacing w:val="15"/>
      <w:kern w:val="0"/>
      <w:sz w:val="28"/>
      <w:szCs w:val="28"/>
      <w:lang w:val="en-GB"/>
      <w14:ligatures w14:val="none"/>
    </w:rPr>
  </w:style>
  <w:style w:type="character" w:customStyle="1" w:styleId="SubtitleChar">
    <w:name w:val="Subtitle Char"/>
    <w:basedOn w:val="DefaultParagraphFont"/>
    <w:link w:val="Subtitle"/>
    <w:uiPriority w:val="11"/>
    <w:rsid w:val="002D3510"/>
    <w:rPr>
      <w:rFonts w:eastAsiaTheme="majorEastAsia" w:cstheme="majorBidi"/>
      <w:color w:val="595959" w:themeColor="text1" w:themeTint="A6"/>
      <w:spacing w:val="15"/>
      <w:kern w:val="0"/>
      <w:sz w:val="28"/>
      <w:szCs w:val="28"/>
      <w:lang w:val="en-GB"/>
      <w14:ligatures w14:val="none"/>
    </w:rPr>
  </w:style>
  <w:style w:type="paragraph" w:styleId="ListParagraph">
    <w:name w:val="List Paragraph"/>
    <w:basedOn w:val="Normal"/>
    <w:uiPriority w:val="34"/>
    <w:qFormat/>
    <w:rsid w:val="002D3510"/>
    <w:pPr>
      <w:ind w:left="720"/>
      <w:contextualSpacing/>
    </w:pPr>
    <w:rPr>
      <w:rFonts w:eastAsia="Times New Roman" w:cs="Times New Roman"/>
      <w:kern w:val="0"/>
      <w:lang w:val="en-GB"/>
      <w14:ligatures w14:val="none"/>
    </w:rPr>
  </w:style>
  <w:style w:type="character" w:styleId="IntenseEmphasis">
    <w:name w:val="Intense Emphasis"/>
    <w:basedOn w:val="DefaultParagraphFont"/>
    <w:uiPriority w:val="21"/>
    <w:qFormat/>
    <w:rsid w:val="002D3510"/>
    <w:rPr>
      <w:i/>
      <w:iCs/>
      <w:color w:val="0F4761" w:themeColor="accent1" w:themeShade="BF"/>
    </w:rPr>
  </w:style>
  <w:style w:type="paragraph" w:styleId="IntenseQuote">
    <w:name w:val="Intense Quote"/>
    <w:basedOn w:val="Normal"/>
    <w:next w:val="Normal"/>
    <w:link w:val="IntenseQuoteChar"/>
    <w:uiPriority w:val="30"/>
    <w:qFormat/>
    <w:rsid w:val="002D3510"/>
    <w:pPr>
      <w:pBdr>
        <w:top w:val="single" w:sz="4" w:space="10" w:color="0F4761" w:themeColor="accent1" w:themeShade="BF"/>
        <w:bottom w:val="single" w:sz="4" w:space="10" w:color="0F4761" w:themeColor="accent1" w:themeShade="BF"/>
      </w:pBdr>
      <w:spacing w:before="360" w:after="360"/>
      <w:ind w:left="864" w:right="864"/>
      <w:jc w:val="center"/>
    </w:pPr>
    <w:rPr>
      <w:rFonts w:eastAsia="Times New Roman" w:cs="Times New Roman"/>
      <w:i/>
      <w:iCs/>
      <w:color w:val="0F4761" w:themeColor="accent1" w:themeShade="BF"/>
      <w:kern w:val="0"/>
      <w:lang w:val="en-GB"/>
      <w14:ligatures w14:val="none"/>
    </w:rPr>
  </w:style>
  <w:style w:type="character" w:customStyle="1" w:styleId="IntenseQuoteChar">
    <w:name w:val="Intense Quote Char"/>
    <w:basedOn w:val="DefaultParagraphFont"/>
    <w:link w:val="IntenseQuote"/>
    <w:uiPriority w:val="30"/>
    <w:rsid w:val="002D3510"/>
    <w:rPr>
      <w:rFonts w:ascii="Times New Roman" w:hAnsi="Times New Roman" w:cs="Times New Roman"/>
      <w:i/>
      <w:iCs/>
      <w:color w:val="0F4761" w:themeColor="accent1" w:themeShade="BF"/>
      <w:kern w:val="0"/>
      <w:lang w:val="en-GB"/>
      <w14:ligatures w14:val="none"/>
    </w:rPr>
  </w:style>
  <w:style w:type="character" w:styleId="IntenseReference">
    <w:name w:val="Intense Reference"/>
    <w:basedOn w:val="DefaultParagraphFont"/>
    <w:uiPriority w:val="32"/>
    <w:qFormat/>
    <w:rsid w:val="002D3510"/>
    <w:rPr>
      <w:b/>
      <w:bCs/>
      <w:smallCaps/>
      <w:color w:val="0F4761" w:themeColor="accent1" w:themeShade="BF"/>
      <w:spacing w:val="5"/>
    </w:rPr>
  </w:style>
  <w:style w:type="paragraph" w:styleId="EndnoteText">
    <w:name w:val="endnote text"/>
    <w:basedOn w:val="Normal"/>
    <w:link w:val="EndnoteTextChar"/>
    <w:uiPriority w:val="99"/>
    <w:semiHidden/>
    <w:unhideWhenUsed/>
    <w:rsid w:val="002D3510"/>
    <w:pPr>
      <w:spacing w:line="240" w:lineRule="auto"/>
    </w:pPr>
    <w:rPr>
      <w:sz w:val="20"/>
      <w:szCs w:val="20"/>
    </w:rPr>
  </w:style>
  <w:style w:type="character" w:customStyle="1" w:styleId="EndnoteTextChar">
    <w:name w:val="Endnote Text Char"/>
    <w:basedOn w:val="DefaultParagraphFont"/>
    <w:link w:val="EndnoteText"/>
    <w:uiPriority w:val="99"/>
    <w:semiHidden/>
    <w:rsid w:val="002D3510"/>
    <w:rPr>
      <w:rFonts w:ascii="Times New Roman" w:eastAsiaTheme="minorHAnsi" w:hAnsi="Times New Roman" w:cs="Times New Roman (Body CS)"/>
      <w:sz w:val="20"/>
      <w:szCs w:val="20"/>
      <w:lang w:val="en-US"/>
    </w:rPr>
  </w:style>
  <w:style w:type="character" w:styleId="EndnoteReference">
    <w:name w:val="endnote reference"/>
    <w:basedOn w:val="DefaultParagraphFont"/>
    <w:uiPriority w:val="99"/>
    <w:semiHidden/>
    <w:unhideWhenUsed/>
    <w:rsid w:val="002D3510"/>
    <w:rPr>
      <w:vertAlign w:val="superscript"/>
    </w:rPr>
  </w:style>
  <w:style w:type="character" w:styleId="Emphasis">
    <w:name w:val="Emphasis"/>
    <w:basedOn w:val="DefaultParagraphFont"/>
    <w:uiPriority w:val="20"/>
    <w:qFormat/>
    <w:rsid w:val="002D3510"/>
    <w:rPr>
      <w:i/>
      <w:iCs/>
    </w:rPr>
  </w:style>
  <w:style w:type="paragraph" w:styleId="NormalWeb">
    <w:name w:val="Normal (Web)"/>
    <w:basedOn w:val="Normal"/>
    <w:uiPriority w:val="99"/>
    <w:semiHidden/>
    <w:unhideWhenUsed/>
    <w:rsid w:val="004F095D"/>
    <w:rPr>
      <w:rFonts w:cs="Times New Roman"/>
    </w:rPr>
  </w:style>
  <w:style w:type="character" w:styleId="Hyperlink">
    <w:name w:val="Hyperlink"/>
    <w:basedOn w:val="DefaultParagraphFont"/>
    <w:uiPriority w:val="99"/>
    <w:unhideWhenUsed/>
    <w:rsid w:val="00F66E8C"/>
    <w:rPr>
      <w:color w:val="467886" w:themeColor="hyperlink"/>
      <w:u w:val="single"/>
    </w:rPr>
  </w:style>
  <w:style w:type="character" w:styleId="UnresolvedMention">
    <w:name w:val="Unresolved Mention"/>
    <w:basedOn w:val="DefaultParagraphFont"/>
    <w:uiPriority w:val="99"/>
    <w:semiHidden/>
    <w:unhideWhenUsed/>
    <w:rsid w:val="00F66E8C"/>
    <w:rPr>
      <w:color w:val="605E5C"/>
      <w:shd w:val="clear" w:color="auto" w:fill="E1DFDD"/>
    </w:rPr>
  </w:style>
  <w:style w:type="character" w:styleId="Strong">
    <w:name w:val="Strong"/>
    <w:basedOn w:val="DefaultParagraphFont"/>
    <w:uiPriority w:val="22"/>
    <w:qFormat/>
    <w:rsid w:val="00AB47A6"/>
    <w:rPr>
      <w:b/>
      <w:bCs/>
    </w:rPr>
  </w:style>
  <w:style w:type="paragraph" w:styleId="Header">
    <w:name w:val="header"/>
    <w:basedOn w:val="Normal"/>
    <w:link w:val="HeaderChar"/>
    <w:uiPriority w:val="99"/>
    <w:unhideWhenUsed/>
    <w:rsid w:val="00AD307A"/>
    <w:pPr>
      <w:tabs>
        <w:tab w:val="center" w:pos="4680"/>
        <w:tab w:val="right" w:pos="9360"/>
      </w:tabs>
      <w:spacing w:line="240" w:lineRule="auto"/>
    </w:pPr>
  </w:style>
  <w:style w:type="character" w:customStyle="1" w:styleId="HeaderChar">
    <w:name w:val="Header Char"/>
    <w:basedOn w:val="DefaultParagraphFont"/>
    <w:link w:val="Header"/>
    <w:uiPriority w:val="99"/>
    <w:rsid w:val="00AD307A"/>
    <w:rPr>
      <w:rFonts w:ascii="Times New Roman" w:eastAsiaTheme="minorHAnsi" w:hAnsi="Times New Roman" w:cs="Times New Roman (Body CS)"/>
      <w:lang w:val="en-US"/>
    </w:rPr>
  </w:style>
  <w:style w:type="paragraph" w:styleId="Footer">
    <w:name w:val="footer"/>
    <w:basedOn w:val="Normal"/>
    <w:link w:val="FooterChar"/>
    <w:uiPriority w:val="99"/>
    <w:unhideWhenUsed/>
    <w:rsid w:val="00AD307A"/>
    <w:pPr>
      <w:tabs>
        <w:tab w:val="center" w:pos="4680"/>
        <w:tab w:val="right" w:pos="9360"/>
      </w:tabs>
      <w:spacing w:line="240" w:lineRule="auto"/>
    </w:pPr>
  </w:style>
  <w:style w:type="character" w:customStyle="1" w:styleId="FooterChar">
    <w:name w:val="Footer Char"/>
    <w:basedOn w:val="DefaultParagraphFont"/>
    <w:link w:val="Footer"/>
    <w:uiPriority w:val="99"/>
    <w:rsid w:val="00AD307A"/>
    <w:rPr>
      <w:rFonts w:ascii="Times New Roman" w:eastAsiaTheme="minorHAnsi" w:hAnsi="Times New Roman" w:cs="Times New Roman (Body CS)"/>
      <w:lang w:val="en-US"/>
    </w:rPr>
  </w:style>
  <w:style w:type="paragraph" w:styleId="Revision">
    <w:name w:val="Revision"/>
    <w:hidden/>
    <w:uiPriority w:val="99"/>
    <w:semiHidden/>
    <w:rsid w:val="00C63CF0"/>
    <w:pPr>
      <w:spacing w:after="0" w:line="240" w:lineRule="auto"/>
    </w:pPr>
    <w:rPr>
      <w:rFonts w:ascii="Times New Roman" w:eastAsiaTheme="minorHAnsi" w:hAnsi="Times New Roman" w:cs="Times New Roman (Body 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3841</Words>
  <Characters>21899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Mount Royal University</Company>
  <LinksUpToDate>false</LinksUpToDate>
  <CharactersWithSpaces>25689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Dharamsi</dc:creator>
  <cp:keywords/>
  <dc:description/>
  <cp:lastModifiedBy>Karim Dharamsi</cp:lastModifiedBy>
  <cp:revision>2</cp:revision>
  <dcterms:created xsi:type="dcterms:W3CDTF">2026-10-20T19:07:00Z</dcterms:created>
  <dcterms:modified xsi:type="dcterms:W3CDTF">2026-10-20T19:07:00Z</dcterms:modified>
</cp:coreProperties>
</file>