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9790" w14:textId="2C19DF04" w:rsidR="00DE1755" w:rsidRDefault="00DE1755" w:rsidP="0077790F">
      <w:pPr>
        <w:pStyle w:val="Heading1"/>
        <w:rPr>
          <w:rFonts w:eastAsia="Times New Roman"/>
        </w:rPr>
      </w:pPr>
      <w:r>
        <w:rPr>
          <w:rFonts w:eastAsia="Times New Roman"/>
        </w:rPr>
        <w:t xml:space="preserve">A Razian Audit of State Authority: </w:t>
      </w:r>
      <w:r w:rsidR="009D09CF">
        <w:rPr>
          <w:rFonts w:eastAsia="Times New Roman"/>
        </w:rPr>
        <w:br/>
      </w:r>
      <w:r>
        <w:rPr>
          <w:rFonts w:eastAsia="Times New Roman"/>
        </w:rPr>
        <w:t>Political Obligation, Legal Directives, and the Limits of Legitimate Power</w:t>
      </w:r>
    </w:p>
    <w:p w14:paraId="0DB2C332" w14:textId="172CBAF1" w:rsidR="00DE1755" w:rsidRPr="00DE1755" w:rsidRDefault="00DE1755" w:rsidP="003816A7">
      <w:pPr>
        <w:pStyle w:val="Author"/>
      </w:pPr>
      <w:r>
        <w:t>Karim Dharamsi</w:t>
      </w:r>
      <w:r>
        <w:br/>
        <w:t>Mount Royal University</w:t>
      </w:r>
    </w:p>
    <w:p w14:paraId="29581721" w14:textId="737C6EE0" w:rsidR="00DE1755" w:rsidRPr="003816A7" w:rsidRDefault="00DE1755" w:rsidP="003816A7">
      <w:pPr>
        <w:pStyle w:val="Heading3"/>
      </w:pPr>
      <w:r>
        <w:rPr>
          <w:rFonts w:eastAsia="Times New Roman"/>
        </w:rPr>
        <w:br/>
      </w:r>
      <w:r w:rsidR="003816A7">
        <w:t xml:space="preserve">1. </w:t>
      </w:r>
      <w:r w:rsidRPr="003816A7">
        <w:t>Introduction</w:t>
      </w:r>
    </w:p>
    <w:p w14:paraId="6D3EE019" w14:textId="6B48D73F" w:rsidR="00F4572F" w:rsidRPr="00F4572F" w:rsidRDefault="00F4572F" w:rsidP="00F4572F">
      <w:pPr>
        <w:spacing w:after="0"/>
        <w:ind w:firstLine="720"/>
      </w:pPr>
      <w:r w:rsidRPr="00F4572F">
        <w:t>The problem of political obligation has long occupied a central place in political philosophy: why, if at all, are individuals morally bound to obey the state? Classical answers, from the social contract theories of Hobbes, Locke, and Rousseau to more recent consent</w:t>
      </w:r>
      <w:r>
        <w:t xml:space="preserve"> </w:t>
      </w:r>
      <w:r w:rsidRPr="00F4572F">
        <w:t>and fairness-based accounts, seek to ground legitimacy in voluntary agreement or reciprocal benefit. However, a persistent difficulty remains. Most citizens have never meaningfully consented to political authority; they inherit political membership rather than choosing it. Nor does the mere receipt of benefits reliably generate obligation, particularly where the state monopolizes essential goods and leaves subjects with no genuine alternative</w:t>
      </w:r>
      <w:r>
        <w:t>.</w:t>
      </w:r>
      <w:r w:rsidRPr="00F4572F">
        <w:t xml:space="preserve"> If political obligation requires actual consent, most existing states lack legitimacy. If it requires only tacit consent or benefit receipt, the account risks collapsing into a moralized justification of coercion</w:t>
      </w:r>
      <w:r>
        <w:t>.</w:t>
      </w:r>
      <w:r>
        <w:rPr>
          <w:rStyle w:val="FootnoteReference"/>
        </w:rPr>
        <w:footnoteReference w:id="1"/>
      </w:r>
    </w:p>
    <w:p w14:paraId="2027FED8" w14:textId="20D3B241" w:rsidR="00F4572F" w:rsidRPr="00F4572F" w:rsidRDefault="00F4572F" w:rsidP="00F4572F">
      <w:pPr>
        <w:spacing w:after="0"/>
        <w:ind w:firstLine="720"/>
      </w:pPr>
      <w:r w:rsidRPr="00F4572F">
        <w:t>Joseph Raz’s service conception of authority reframes this problem in a more demanding way. Rather than grounding legitimacy in the will or acquiescence of subjects, Raz ties it to the practical reasons that already apply to them. According to Raz, authority is justified only insofar as its directives help subjects better conform to those reasons</w:t>
      </w:r>
      <w:r>
        <w:t>.</w:t>
      </w:r>
      <w:r>
        <w:rPr>
          <w:rStyle w:val="FootnoteReference"/>
        </w:rPr>
        <w:footnoteReference w:id="2"/>
      </w:r>
      <w:r>
        <w:t xml:space="preserve"> </w:t>
      </w:r>
      <w:r w:rsidRPr="00F4572F">
        <w:t xml:space="preserve">Authority, in this sense, is not a source of reasons </w:t>
      </w:r>
      <w:r w:rsidRPr="00F4572F">
        <w:rPr>
          <w:i/>
          <w:iCs/>
        </w:rPr>
        <w:t>ex nihilo</w:t>
      </w:r>
      <w:r w:rsidRPr="00F4572F">
        <w:t xml:space="preserve"> but a mediating device that coordinates, clarifies, and sometimes prioritizes reasons agents already possess. Raz formalizes this view through two central claims. The dependence thesis holds that authoritative directives must reflect subjects’ antecedent reasons, while the normal justification thesis maintains that subjects are warranted in treating a directive as binding when doing so enables them to act more reliably on those reasons than if they relied on their own judgement alone. When both conditions are satisfied, directives acquire pre-emptive force. When either fails, legal validity may remain, but moral obligation does not</w:t>
      </w:r>
      <w:r>
        <w:t>.</w:t>
      </w:r>
      <w:r>
        <w:rPr>
          <w:rStyle w:val="FootnoteReference"/>
        </w:rPr>
        <w:footnoteReference w:id="3"/>
      </w:r>
    </w:p>
    <w:p w14:paraId="39685D31" w14:textId="77777777" w:rsidR="00F4572F" w:rsidRPr="00F4572F" w:rsidRDefault="00F4572F" w:rsidP="00F4572F">
      <w:pPr>
        <w:spacing w:after="0"/>
        <w:ind w:firstLine="720"/>
      </w:pPr>
    </w:p>
    <w:p w14:paraId="707E383A" w14:textId="4EDF928B" w:rsidR="00F4572F" w:rsidRPr="00F4572F" w:rsidRDefault="00F4572F" w:rsidP="00F4572F">
      <w:pPr>
        <w:spacing w:after="0"/>
        <w:ind w:firstLine="720"/>
      </w:pPr>
      <w:r w:rsidRPr="00F4572F">
        <w:lastRenderedPageBreak/>
        <w:t>This account draws a sharp distinction between authority and power. States may possess extensive coercive capacities, but coercion without justification constitutes domination rather than authority. Legitimacy, on this view, is not an institutional presumption but a moral success condition, secured only where directives contribute to subjects’ practical reasoning.</w:t>
      </w:r>
    </w:p>
    <w:p w14:paraId="71243D0A" w14:textId="685B9D08" w:rsidR="00F4572F" w:rsidRPr="00F4572F" w:rsidRDefault="00F4572F" w:rsidP="00F4572F">
      <w:pPr>
        <w:spacing w:after="0"/>
        <w:ind w:firstLine="720"/>
      </w:pPr>
      <w:r w:rsidRPr="00F4572F">
        <w:t>The purpose of this chapter is to put Raz’s service conception to work as a normative audit of state authority. Rather than treating the theory as an abstract account of political obligation, the chapter operationalizes Raz’s criteria as a public standard for evaluating concrete exercises of legal power in contemporary liberal democracies. It does so through three case studies: COVID-19 public health mandates, anti-protest laws directed at environmental and civil-rights demonstrations, and Quebec’s secularism legislation (Bill 21). These cases test distinct pressure points in the exercise of authority: coordination under epistemic uncertainty, the regulation of political dissent, and the governance of deep ethical and religious pluralism.</w:t>
      </w:r>
    </w:p>
    <w:p w14:paraId="4C5AE593" w14:textId="3D93F91A" w:rsidR="00F4572F" w:rsidRPr="00F4572F" w:rsidRDefault="00F4572F" w:rsidP="00F4572F">
      <w:pPr>
        <w:spacing w:after="0"/>
        <w:ind w:firstLine="720"/>
      </w:pPr>
      <w:r w:rsidRPr="00F4572F">
        <w:t xml:space="preserve">Taken together, the cases reveal that legitimacy in liberal democracies is often patchy rather than presumptive. In some domains—most notably certain public-health directives issued during periods </w:t>
      </w:r>
      <w:r w:rsidR="00093747">
        <w:t>o</w:t>
      </w:r>
      <w:r w:rsidRPr="00F4572F">
        <w:t>f acute uncertainty—state authority plausibly satisfies Raz’s demanding standards by coordinating action and improving subjects’ conformity to harm-avoidance and collective-prote</w:t>
      </w:r>
      <w:r>
        <w:t>c</w:t>
      </w:r>
      <w:r w:rsidRPr="00F4572F">
        <w:t>tion reasons. In other domains, including broad restrictions on protest and uniform bans on religious symbols, directives frequently fail to reflect or advance the reasons of those subject to them. Here, legal power remains intact, but the claim to authority fails.</w:t>
      </w:r>
    </w:p>
    <w:p w14:paraId="58152C6B" w14:textId="2C7D68D4" w:rsidR="00785170" w:rsidRDefault="00F4572F" w:rsidP="00D201DC">
      <w:pPr>
        <w:spacing w:after="0"/>
        <w:ind w:firstLine="720"/>
      </w:pPr>
      <w:r w:rsidRPr="00F4572F">
        <w:t>This analysis does not endorse philosophical anarchism. While critics such as Robert Paul Wolff argue that the very idea of legitimate political authority is incoherent</w:t>
      </w:r>
      <w:r>
        <w:rPr>
          <w:rStyle w:val="FootnoteReference"/>
        </w:rPr>
        <w:footnoteReference w:id="4"/>
      </w:r>
      <w:r w:rsidRPr="00F4572F">
        <w:t>, Raz’s framework insists that authority is possible, though conditional, domain-specific, and continuously vulnerable to failure. Political authority, on this view, is not something the state simply has. It is something that must be repeatedly earned.</w:t>
      </w:r>
    </w:p>
    <w:p w14:paraId="3C157081" w14:textId="4099E722" w:rsidR="001D2850" w:rsidRDefault="001D2850" w:rsidP="003816A7">
      <w:pPr>
        <w:pStyle w:val="Heading3"/>
      </w:pPr>
      <w:r>
        <w:t>2. Raz’s Service Conception of Authority</w:t>
      </w:r>
    </w:p>
    <w:p w14:paraId="4F145B56" w14:textId="1756F1C3" w:rsidR="001D2850" w:rsidRDefault="001D2850" w:rsidP="00665ECA">
      <w:pPr>
        <w:spacing w:after="0"/>
        <w:ind w:firstLine="720"/>
      </w:pPr>
      <w:r>
        <w:t xml:space="preserve">Raz’s service conception of authority offers one of the most rigorous attempts in contemporary political philosophy to explain when, if ever, political power generates a moral duty to obey. </w:t>
      </w:r>
      <w:r w:rsidR="005B0480">
        <w:t>Unlike consent-based or procedural accounts, Raz’s theory does not begin with the legitimacy of institutions or with the will of the governed.</w:t>
      </w:r>
      <w:r>
        <w:t xml:space="preserve"> </w:t>
      </w:r>
      <w:r w:rsidR="005B0480">
        <w:t>It begins instead with a question of practical reason: under what conditions does treating a directive as binding help agents act on reasons that already apply to them?</w:t>
      </w:r>
    </w:p>
    <w:p w14:paraId="5B00C9D5" w14:textId="2EA543FC" w:rsidR="001D2850" w:rsidRDefault="001D2850" w:rsidP="00665ECA">
      <w:pPr>
        <w:spacing w:after="0"/>
        <w:ind w:firstLine="720"/>
      </w:pPr>
      <w:r>
        <w:lastRenderedPageBreak/>
        <w:t xml:space="preserve">This shift is decisive. Raz does not ask whether authority has been authorised, but whether it is </w:t>
      </w:r>
      <w:r>
        <w:rPr>
          <w:i/>
          <w:iCs/>
        </w:rPr>
        <w:t>justified</w:t>
      </w:r>
      <w:r>
        <w:t xml:space="preserve">. </w:t>
      </w:r>
      <w:r w:rsidR="005B0480">
        <w:t>According to him, authority is neither an expression of sovereignty nor a standing entitlement of the state.</w:t>
      </w:r>
      <w:r>
        <w:t xml:space="preserve"> </w:t>
      </w:r>
      <w:r w:rsidR="005B0480">
        <w:t>It is a moral relationship between an agent and a directive, mediated by the reasons that already govern the agent’s conduct.</w:t>
      </w:r>
      <w:r>
        <w:t xml:space="preserve"> </w:t>
      </w:r>
      <w:r w:rsidR="005B0480">
        <w:t>To say that an authority is legitimate is to say that it serves those reasons by improving agents’ conformity to them</w:t>
      </w:r>
      <w:r w:rsidR="00665ECA">
        <w:t>.</w:t>
      </w:r>
      <w:r w:rsidR="00665ECA">
        <w:rPr>
          <w:rStyle w:val="FootnoteReference"/>
        </w:rPr>
        <w:footnoteReference w:id="5"/>
      </w:r>
    </w:p>
    <w:p w14:paraId="5E2C9555" w14:textId="5A36231F" w:rsidR="00665ECA" w:rsidRDefault="005B0480" w:rsidP="00665ECA">
      <w:pPr>
        <w:spacing w:after="0"/>
        <w:ind w:firstLine="720"/>
      </w:pPr>
      <w:r>
        <w:t>Because Raz’s account is reason-</w:t>
      </w:r>
      <w:r w:rsidR="00665ECA">
        <w:t>centred</w:t>
      </w:r>
      <w:r>
        <w:t xml:space="preserve"> rather than voluntarist, it provides an especially demanding standard for political legitimacy.</w:t>
      </w:r>
      <w:r w:rsidR="001D2850">
        <w:t xml:space="preserve"> </w:t>
      </w:r>
      <w:r>
        <w:t>This allows authority to exist without consent, but only where deference genuinely improves agents’ practical reasoning.</w:t>
      </w:r>
      <w:r w:rsidR="001D2850">
        <w:t xml:space="preserve"> </w:t>
      </w:r>
      <w:r>
        <w:t>It also allows authority to fail even when directives are legally valid, democratically enacted, or widely accepted.</w:t>
      </w:r>
      <w:r w:rsidR="001D2850">
        <w:t xml:space="preserve"> </w:t>
      </w:r>
      <w:r>
        <w:t>These features make the service conception particularly well-suited to the evaluative task undertaken in this chapter.</w:t>
      </w:r>
      <w:r w:rsidR="001D2850">
        <w:t xml:space="preserve"> Raz offers not a presumption of obedience, but a set of criteria by which claims to authority can be tested.</w:t>
      </w:r>
    </w:p>
    <w:p w14:paraId="74A4A8BC" w14:textId="00E3F730" w:rsidR="001D2850" w:rsidRDefault="001D2850" w:rsidP="00665ECA">
      <w:pPr>
        <w:pStyle w:val="Heading3"/>
      </w:pPr>
      <w:r>
        <w:t>2.1 Dependence, Normal Justification, and Pre-emptive Force</w:t>
      </w:r>
      <w:r w:rsidR="00665ECA">
        <w:tab/>
      </w:r>
    </w:p>
    <w:p w14:paraId="12B366D6" w14:textId="7C3BD88A" w:rsidR="001D2850" w:rsidRDefault="001D2850" w:rsidP="00F90520">
      <w:pPr>
        <w:spacing w:after="0"/>
        <w:ind w:firstLine="720"/>
      </w:pPr>
      <w:r>
        <w:t xml:space="preserve">Raz’s service conception is structured around three closely connected claims: the dependence thesis, the normal justification thesis, and the pre-emptive character of authoritative directives. </w:t>
      </w:r>
      <w:r w:rsidR="005B0480">
        <w:t>Together, they explain when authority is justified and how it functions once justified.</w:t>
      </w:r>
    </w:p>
    <w:p w14:paraId="79F0C40E" w14:textId="77777777" w:rsidR="00665ECA" w:rsidRDefault="00665ECA" w:rsidP="00665ECA">
      <w:pPr>
        <w:spacing w:after="0"/>
        <w:ind w:firstLine="720"/>
      </w:pPr>
      <w:r>
        <w:t>As noted, t</w:t>
      </w:r>
      <w:r w:rsidR="001D2850">
        <w:t xml:space="preserve">he </w:t>
      </w:r>
      <w:r w:rsidR="001D2850" w:rsidRPr="00444205">
        <w:rPr>
          <w:rStyle w:val="s2"/>
          <w:rFonts w:eastAsiaTheme="majorEastAsia"/>
        </w:rPr>
        <w:t>dependence thesis</w:t>
      </w:r>
      <w:r w:rsidR="001D2850">
        <w:t xml:space="preserve"> holds that authoritative directives must be grounded in reasons that already apply to the subjects of that authority</w:t>
      </w:r>
      <w:r>
        <w:t>.</w:t>
      </w:r>
      <w:r>
        <w:rPr>
          <w:rStyle w:val="FootnoteReference"/>
        </w:rPr>
        <w:footnoteReference w:id="6"/>
      </w:r>
      <w:r>
        <w:t xml:space="preserve"> </w:t>
      </w:r>
      <w:r w:rsidR="001D2850">
        <w:t>Authority cannot generate reasons independently of agents’ normative situation. A legal rule can bind only if it reflects antecedent moral or prudential considerations, such as reasons to avoid harm, secure cooperation, or maintain fair terms of social interaction. Where a directive fails to reflect such reasons, it lacks the normative basis required for authority. This condition ensures that authority remains tethered to agents’ own reasons, even where deliberation is displaced at the level of action.</w:t>
      </w:r>
    </w:p>
    <w:p w14:paraId="54AC7CF2" w14:textId="5F78F2A1" w:rsidR="001D2850" w:rsidRDefault="001D2850" w:rsidP="00665ECA">
      <w:pPr>
        <w:spacing w:after="0"/>
        <w:ind w:firstLine="720"/>
      </w:pPr>
      <w:r>
        <w:t xml:space="preserve">The </w:t>
      </w:r>
      <w:r w:rsidRPr="00444205">
        <w:rPr>
          <w:rStyle w:val="s2"/>
          <w:rFonts w:eastAsiaTheme="majorEastAsia"/>
        </w:rPr>
        <w:t>normal justification thesis</w:t>
      </w:r>
      <w:r>
        <w:t xml:space="preserve"> articulates the central test of legitimacy. A person is justified in accepting authority when, and because, doing so makes them more likely to act in conformity with the reasons that already apply to them than if they attempted to act on those reasons independently</w:t>
      </w:r>
      <w:r w:rsidR="001A019E">
        <w:t>.</w:t>
      </w:r>
      <w:r w:rsidR="001A019E">
        <w:rPr>
          <w:rStyle w:val="FootnoteReference"/>
        </w:rPr>
        <w:footnoteReference w:id="7"/>
      </w:r>
      <w:r>
        <w:t xml:space="preserve"> </w:t>
      </w:r>
      <w:r w:rsidR="005B0480">
        <w:t>Therefore, the justification is comparative and instrumental.</w:t>
      </w:r>
      <w:r>
        <w:t xml:space="preserve"> Authority need not be infallible. </w:t>
      </w:r>
      <w:r w:rsidR="005B0480">
        <w:t>Instead, it must offer a superior route to the right action, given agents’ epistemic limits, coordination problems, and practical constraints.</w:t>
      </w:r>
    </w:p>
    <w:p w14:paraId="209B7C82" w14:textId="53400079" w:rsidR="001D2850" w:rsidRDefault="001D2850" w:rsidP="00665ECA">
      <w:pPr>
        <w:spacing w:after="0"/>
        <w:ind w:firstLine="720"/>
      </w:pPr>
      <w:r>
        <w:t xml:space="preserve">When these two conditions are satisfied, authoritative directives acquire </w:t>
      </w:r>
      <w:r w:rsidRPr="00444205">
        <w:rPr>
          <w:rStyle w:val="s2"/>
          <w:rFonts w:eastAsiaTheme="majorEastAsia"/>
        </w:rPr>
        <w:t>pre-emptive force</w:t>
      </w:r>
      <w:r>
        <w:t xml:space="preserve">. They do not merely add another consideration to an existing balance of </w:t>
      </w:r>
      <w:r>
        <w:lastRenderedPageBreak/>
        <w:t xml:space="preserve">reasons. </w:t>
      </w:r>
      <w:r w:rsidR="00444205">
        <w:t>They replace the need for subjects to deliberate further on the matter at hand.</w:t>
      </w:r>
      <w:r>
        <w:t xml:space="preserve"> </w:t>
      </w:r>
      <w:r w:rsidR="00444205">
        <w:t>The directive functions as an exclusionary reason, a second-order reason not to act on certain first-order reasons that would otherwise be relevant</w:t>
      </w:r>
      <w:r w:rsidR="001A019E">
        <w:t>.</w:t>
      </w:r>
      <w:r w:rsidR="001A019E">
        <w:rPr>
          <w:rStyle w:val="FootnoteReference"/>
        </w:rPr>
        <w:footnoteReference w:id="8"/>
      </w:r>
      <w:r w:rsidR="001A019E">
        <w:t xml:space="preserve"> </w:t>
      </w:r>
      <w:r w:rsidR="00444205">
        <w:t>This explains how authority can guide action reliably without requiring agents to revisit the underlying reasons for each occasion.</w:t>
      </w:r>
    </w:p>
    <w:p w14:paraId="26669064" w14:textId="1620A438" w:rsidR="001D2850" w:rsidRPr="001D2850" w:rsidRDefault="001D2850" w:rsidP="00665ECA">
      <w:pPr>
        <w:spacing w:after="0"/>
        <w:ind w:firstLine="720"/>
        <w:rPr>
          <w:rStyle w:val="s1"/>
        </w:rPr>
      </w:pPr>
      <w:r>
        <w:t xml:space="preserve">The pre-emptive character of authority also explains why its justification is morally demanding. Where either the dependence thesis or the normal justification thesis fails, a directive loses its exclusionary status. </w:t>
      </w:r>
      <w:r w:rsidR="00444205">
        <w:t>It may still be legally valid and enforceable, but it no longer binds in a moral sense.</w:t>
      </w:r>
      <w:r>
        <w:t xml:space="preserve"> </w:t>
      </w:r>
      <w:r w:rsidR="00444205">
        <w:t>The law may command compliance, but it does not generate an obligation to obey.</w:t>
      </w:r>
      <w:r>
        <w:t xml:space="preserve"> </w:t>
      </w:r>
      <w:r w:rsidR="00444205">
        <w:t>This distinction between legal commands and moral authority plays a central role in the case studies that follow.</w:t>
      </w:r>
    </w:p>
    <w:p w14:paraId="61B1B4FC" w14:textId="5006FBA9" w:rsidR="001D2850" w:rsidRDefault="001D2850" w:rsidP="003816A7">
      <w:pPr>
        <w:pStyle w:val="Heading3"/>
      </w:pPr>
      <w:r>
        <w:t>2.2 Authority and Autonomy</w:t>
      </w:r>
    </w:p>
    <w:p w14:paraId="35E01A7A" w14:textId="7EB24411" w:rsidR="001D2850" w:rsidRDefault="001D2850" w:rsidP="00497E54">
      <w:pPr>
        <w:spacing w:after="0"/>
        <w:ind w:firstLine="720"/>
      </w:pPr>
      <w:r>
        <w:t>At first glance, Raz’s account appears to place authority and autonomy in tension. If autonomy involves self-government, then treating another’s directive as pre-emptive seems to substitute obedience for judgement. This worry is familiar, particularly in liberal traditions influenced by Kantian accounts of autonomy as independent deliberation. Raz confronts this concern directly by re-conceptualising autonomy in terms of successful agency rather than constant choice.</w:t>
      </w:r>
      <w:r w:rsidR="00497E54">
        <w:t xml:space="preserve"> </w:t>
      </w:r>
    </w:p>
    <w:p w14:paraId="3A66BCA3" w14:textId="082D794A" w:rsidR="001D2850" w:rsidRDefault="001D2850" w:rsidP="00093747">
      <w:pPr>
        <w:spacing w:after="0"/>
        <w:ind w:firstLine="720"/>
      </w:pPr>
      <w:r>
        <w:t xml:space="preserve">On Raz’s view, autonomy is not exhausted by the exercise of first-order judgement. It consists in the capacity to act effectively on one’s own reasons, including moral commitments, prudential aims, and obligations to others. </w:t>
      </w:r>
      <w:r w:rsidR="00093747" w:rsidRPr="00093747">
        <w:t>Because agents are epistemically limited and often embedded in complex systems of coordination, they frequently realise their reasons more reliably through deference</w:t>
      </w:r>
      <w:r w:rsidR="00497E54">
        <w:t>.</w:t>
      </w:r>
      <w:r w:rsidR="00497E54">
        <w:rPr>
          <w:rStyle w:val="FootnoteReference"/>
        </w:rPr>
        <w:footnoteReference w:id="9"/>
      </w:r>
      <w:r>
        <w:t xml:space="preserve"> Autonomy, in this sense, is a normative achievement rather than a psychological state.</w:t>
      </w:r>
    </w:p>
    <w:p w14:paraId="75EA2527" w14:textId="23DB39D9" w:rsidR="001D2850" w:rsidRDefault="001D2850" w:rsidP="00497E54">
      <w:pPr>
        <w:spacing w:after="0"/>
        <w:ind w:firstLine="720"/>
      </w:pPr>
      <w:r>
        <w:t xml:space="preserve">This </w:t>
      </w:r>
      <w:r w:rsidR="00444205">
        <w:t>reconceptualization</w:t>
      </w:r>
      <w:r>
        <w:t xml:space="preserve"> explains why exclusionary reasons need not undermine autonomy. When an authority satisfies the dependence and normal justification theses, accepting its directive structures the agent’s deliberative field in a way that promotes fidelity to reasons the agent already endorses. Deference does not replace autonomy. It enables it under conditions of uncertainty, interdependence, and risk. A citizen who follows traffic regulations acts more autonomously, not less, because the rules allow her to realise her reasons for safety and coordination more effectively. </w:t>
      </w:r>
    </w:p>
    <w:p w14:paraId="4AC10C89" w14:textId="672DA1E8" w:rsidR="001D2850" w:rsidRDefault="001D2850" w:rsidP="00497E54">
      <w:pPr>
        <w:spacing w:after="0"/>
        <w:ind w:firstLine="720"/>
      </w:pPr>
      <w:r>
        <w:t xml:space="preserve">The same structure applies to political authority. When the state issues directives that genuinely help citizens act on reasons they already have, such as protecting life, securing fair cooperation, or maintaining public order, obedience enhances rather than diminishes autonomy. Conversely, when directives fail to reflect or advance those reasons, deference ceases to be autonomy-enhancing. A command that instructs citizens to </w:t>
      </w:r>
      <w:r>
        <w:lastRenderedPageBreak/>
        <w:t>discriminate unjustly, suppress dissent without justification, or violate core commitments cannot supply an exclusionary reason. In such cases, obedience no longer serves the agent’s reasons. Authority collapses into domination.</w:t>
      </w:r>
      <w:r w:rsidR="00497E54">
        <w:t xml:space="preserve"> </w:t>
      </w:r>
    </w:p>
    <w:p w14:paraId="554ADFC0" w14:textId="21CAFF4D" w:rsidR="00497E54" w:rsidRPr="001F4636" w:rsidRDefault="00497E54" w:rsidP="001F4636">
      <w:pPr>
        <w:spacing w:after="0"/>
        <w:ind w:firstLine="720"/>
      </w:pPr>
      <w:r w:rsidRPr="00497E54">
        <w:t>This feature of Raz’s account marks an important departure from both anarchist and positivist positions. Against philosophical anarchism, Raz allows that authority can coexist with autonomy where it genuinely serves agents’ reasons</w:t>
      </w:r>
      <w:r w:rsidR="006A6521">
        <w:t>.</w:t>
      </w:r>
      <w:r w:rsidR="006A6521">
        <w:rPr>
          <w:rStyle w:val="FootnoteReference"/>
        </w:rPr>
        <w:footnoteReference w:id="10"/>
      </w:r>
      <w:r w:rsidRPr="00497E54">
        <w:t xml:space="preserve"> Against positivism, he insists that legality alone is insufficient to generate obligation: authoritative directives must be justified by their capacity to help subjects better conform to reasons that already apply to them</w:t>
      </w:r>
      <w:r w:rsidR="006A6521">
        <w:t>.</w:t>
      </w:r>
      <w:r w:rsidR="006A6521">
        <w:rPr>
          <w:rStyle w:val="FootnoteReference"/>
        </w:rPr>
        <w:footnoteReference w:id="11"/>
      </w:r>
      <w:r w:rsidR="006A6521">
        <w:t xml:space="preserve"> </w:t>
      </w:r>
      <w:r w:rsidRPr="00497E54">
        <w:t xml:space="preserve">Authority is not secured by enactment or acceptance but by ongoing normative performance. </w:t>
      </w:r>
      <w:r w:rsidR="00754EF9">
        <w:t>L</w:t>
      </w:r>
      <w:r w:rsidRPr="00497E54">
        <w:t>egitimacy on this view is a moral success condition rather than an institutional presumption</w:t>
      </w:r>
      <w:r w:rsidR="006A6521">
        <w:t>.</w:t>
      </w:r>
      <w:r w:rsidRPr="00497E54">
        <w:t xml:space="preserve"> </w:t>
      </w:r>
      <w:r w:rsidR="001F4636" w:rsidRPr="001F4636">
        <w:t>That is, authority is legitimate only where deference to its directives plausibly helps subjects better conform to reasons that already apply to them.</w:t>
      </w:r>
    </w:p>
    <w:p w14:paraId="2A9CF454" w14:textId="0240FC96" w:rsidR="001D2850" w:rsidRDefault="001D2850" w:rsidP="00497E54">
      <w:pPr>
        <w:spacing w:after="0"/>
        <w:ind w:firstLine="720"/>
      </w:pPr>
      <w:r>
        <w:t xml:space="preserve">Understanding authority as autonomy-enabling rather than autonomy-opposing clarifies the stakes of the Razian audit undertaken in this chapter. The central question is not whether citizens consented to be governed, nor whether procedures were properly followed. It is whether deference to </w:t>
      </w:r>
      <w:proofErr w:type="gramStart"/>
      <w:r>
        <w:t>particular directives</w:t>
      </w:r>
      <w:proofErr w:type="gramEnd"/>
      <w:r>
        <w:t xml:space="preserve"> plausibly helps citizens act on reasons they already have. Where it does, authority is justified. Where it does not, autonomy reasserts itself through resistance, criticism, or refusal.</w:t>
      </w:r>
    </w:p>
    <w:p w14:paraId="6256175A" w14:textId="77777777" w:rsidR="001D2850" w:rsidRDefault="001D2850" w:rsidP="00621424">
      <w:pPr>
        <w:spacing w:after="0"/>
        <w:ind w:firstLine="720"/>
      </w:pPr>
      <w:r>
        <w:t xml:space="preserve">This account prepares the ground for the case studies that follow. Public health mandates, protest restrictions, and secularism legislation each test different ways in which authority may succeed or fail in serving citizens’ reasons. They also reveal how autonomy can be either sustained or eroded through legal directives that claim pre-emptive force. The task of the next sections is to assess those claims </w:t>
      </w:r>
      <w:proofErr w:type="gramStart"/>
      <w:r>
        <w:t>in light of</w:t>
      </w:r>
      <w:proofErr w:type="gramEnd"/>
      <w:r>
        <w:t xml:space="preserve"> Raz’s demanding standard.</w:t>
      </w:r>
    </w:p>
    <w:p w14:paraId="0DC6EB6C" w14:textId="1226A883" w:rsidR="001D2850" w:rsidRPr="003816A7" w:rsidRDefault="001D2850" w:rsidP="003816A7">
      <w:pPr>
        <w:pStyle w:val="Heading3"/>
      </w:pPr>
      <w:r w:rsidRPr="003816A7">
        <w:t>3. Public Health Mandates and Authority under Epistemic Uncertainty</w:t>
      </w:r>
    </w:p>
    <w:p w14:paraId="42AB7496" w14:textId="601FB0E2" w:rsidR="001D2850" w:rsidRDefault="001D2850" w:rsidP="00CC4608">
      <w:pPr>
        <w:spacing w:after="0"/>
        <w:ind w:firstLine="720"/>
      </w:pPr>
      <w:r>
        <w:t>Public health emergencies provide a particularly revealing context in which to test the service conception of authority. They combine three features that Raz identifies as central to justified deference: pervasive epistemic uncertainty, high stakes for collective welfare, and the need for coordinated action. If there are circumstances under which political authority plausibly serves rather than supplants citizens’ practical reasons, pandemic governance is among the strongest candidates.</w:t>
      </w:r>
    </w:p>
    <w:p w14:paraId="300AB6A5" w14:textId="63745ADD" w:rsidR="001D2850" w:rsidRDefault="001D2850" w:rsidP="00CC4608">
      <w:pPr>
        <w:spacing w:after="0"/>
        <w:ind w:firstLine="720"/>
      </w:pPr>
      <w:r>
        <w:t xml:space="preserve">During the COVID-19 pandemic, governments issued a wide range of directives affecting movement, work, association, and bodily conduct. These measures were often </w:t>
      </w:r>
      <w:r w:rsidR="00CC4608">
        <w:t>criticized</w:t>
      </w:r>
      <w:r>
        <w:t xml:space="preserve"> as coercive, intrusive, or incompatible with liberal freedoms. Yet from a Razian perspective, the central question is not whether such directives restricted liberty, but </w:t>
      </w:r>
      <w:r>
        <w:lastRenderedPageBreak/>
        <w:t>whether treating them as binding plausibly helped citizens better conform to reasons that already applied to them. The relevant reasons include avoiding serious harm, protecting vulnerable populations, and sustaining the collective capacity of health systems.</w:t>
      </w:r>
    </w:p>
    <w:p w14:paraId="751F8633" w14:textId="677A5F12" w:rsidR="001D2850" w:rsidRDefault="001D2850" w:rsidP="00CC4608">
      <w:pPr>
        <w:pStyle w:val="Heading3"/>
      </w:pPr>
      <w:r>
        <w:t>3.1 Coordination and the Dependence Thesis</w:t>
      </w:r>
    </w:p>
    <w:p w14:paraId="33E5ED30" w14:textId="5C9E1692" w:rsidR="001D2850" w:rsidRDefault="001D2850" w:rsidP="00CC4608">
      <w:pPr>
        <w:spacing w:after="0"/>
        <w:ind w:firstLine="720"/>
      </w:pPr>
      <w:r>
        <w:t>Public health mandates readily satisfy the dependence thesis, at least in principle. Individuals have independent reasons to avoid transmitting a dangerous virus, to protect others from serious illness, and to preserve the functioning of shared institutions such as hospitals. These reasons apply regardless of whether the state issues directives. In the absence of coordination, however, individuals acting on these reasons face serious collective action problems. One person’s restraint is ineffective if others do not act similarly. The benefit of precautions depends on widespread compliance.</w:t>
      </w:r>
    </w:p>
    <w:p w14:paraId="3E985CEC" w14:textId="37D4C17F" w:rsidR="001D2850" w:rsidRDefault="001D2850" w:rsidP="00CC4608">
      <w:pPr>
        <w:spacing w:after="0"/>
        <w:ind w:firstLine="720"/>
      </w:pPr>
      <w:r>
        <w:t>Legal mandates concerning masking, distancing, or temporary restrictions on gatherings can therefore be understood as reflecting reasons that already apply to citizens, while also coordinating those reasons across a population. The directives do not create the underlying moral reasons. They organise them. In this respect, pandemic measures exemplify the kind of reason-dependence Raz identifies as a necessary condition of authority.</w:t>
      </w:r>
    </w:p>
    <w:p w14:paraId="66E1CCA7" w14:textId="780FF289" w:rsidR="001D2850" w:rsidRDefault="001D2850" w:rsidP="00CC4608">
      <w:pPr>
        <w:spacing w:after="0"/>
        <w:ind w:firstLine="720"/>
      </w:pPr>
      <w:r>
        <w:t>Importantly, this does not mean that every public health directive automatically satisfies the dependence thesis. Measures that were poorly targeted, excessively prolonged, or insufficiently connected to actual risk profiles raise legitimate questions about whether they continued to reflect subjects’ reasons over time. Still, at least during the early and uncertain phases of the pandemic, many directives plausibly tracked widely shared reasons to reduce harm and manage collective risk.</w:t>
      </w:r>
    </w:p>
    <w:p w14:paraId="4A3AE888" w14:textId="16D863F7" w:rsidR="001D2850" w:rsidRDefault="001D2850" w:rsidP="00CC4608">
      <w:pPr>
        <w:pStyle w:val="Heading3"/>
      </w:pPr>
      <w:r>
        <w:t>3.2 Expertise, Uncertainty, and Normal Justification</w:t>
      </w:r>
    </w:p>
    <w:p w14:paraId="415EE5F9" w14:textId="067FA751" w:rsidR="001D2850" w:rsidRDefault="001D2850" w:rsidP="00CC4608">
      <w:pPr>
        <w:spacing w:after="0"/>
        <w:ind w:firstLine="720"/>
      </w:pPr>
      <w:r>
        <w:t>The normal justification thesis is especially salient in conditions of epistemic uncertainty. Most citizens lack the expertise required to evaluate epidemiological data, model transmission dynamics, or assess the capacity of health systems. Acting independently on one’s reasons in such circumstances is likely to be less reliable than deferring to coordinated guidance issued by public authorities drawing on scientific expertise.</w:t>
      </w:r>
    </w:p>
    <w:p w14:paraId="2DDAF05E" w14:textId="5CDED562" w:rsidR="001D2850" w:rsidRDefault="001D2850" w:rsidP="00CC4608">
      <w:pPr>
        <w:spacing w:after="0"/>
        <w:ind w:firstLine="720"/>
      </w:pPr>
      <w:r>
        <w:t>From a Razian perspective, this is precisely the circumstance in which deference can be autonomy-enhancing. Accepting public health directives as binding may enable individuals to better realise their own reasons to avoid harm and protect others than if they attempted to assess the situation independently.</w:t>
      </w:r>
    </w:p>
    <w:p w14:paraId="245BA350" w14:textId="14EE678D" w:rsidR="001D2850" w:rsidRDefault="001D2850" w:rsidP="00CC4608">
      <w:pPr>
        <w:spacing w:after="0"/>
        <w:ind w:firstLine="720"/>
      </w:pPr>
      <w:r>
        <w:t xml:space="preserve">This does not imply that expertise alone justifies authority. The normal justification thesis requires that following the directive </w:t>
      </w:r>
      <w:proofErr w:type="gramStart"/>
      <w:r>
        <w:t>actually improves</w:t>
      </w:r>
      <w:proofErr w:type="gramEnd"/>
      <w:r>
        <w:t xml:space="preserve"> conformity to reasons. Where </w:t>
      </w:r>
      <w:r>
        <w:lastRenderedPageBreak/>
        <w:t>public health guidance was inconsistent, poorly communicated, or detached from emerging evidence, the justificatory force of mandates weakened. Still, the general structure of pandemic governance provides a clear illustration of how authority can satisfy Raz’s standard when it improves agents’ ability to act rightly under uncertainty.</w:t>
      </w:r>
    </w:p>
    <w:p w14:paraId="705D89F4" w14:textId="190737FC" w:rsidR="001D2850" w:rsidRDefault="001D2850" w:rsidP="00CC4608">
      <w:pPr>
        <w:pStyle w:val="Heading3"/>
      </w:pPr>
      <w:r>
        <w:t>3.3 Pre-emption and Temporary Compliance</w:t>
      </w:r>
    </w:p>
    <w:p w14:paraId="546F24DF" w14:textId="44FB7505" w:rsidR="001D2850" w:rsidRDefault="001D2850" w:rsidP="00CC4608">
      <w:pPr>
        <w:spacing w:after="0"/>
        <w:ind w:firstLine="720"/>
      </w:pPr>
      <w:r>
        <w:t xml:space="preserve">Where both the dependence and normal justification theses are plausibly satisfied, public health directives acquire pre-emptive force. Citizens are not required to re-deliberate about the permissibility of each action </w:t>
      </w:r>
      <w:proofErr w:type="gramStart"/>
      <w:r>
        <w:t>in light of</w:t>
      </w:r>
      <w:proofErr w:type="gramEnd"/>
      <w:r>
        <w:t xml:space="preserve"> first-order reasons. They are justified in treating the directive itself as a reason not to act on competing considerations, such as convenience or personal preference.</w:t>
      </w:r>
    </w:p>
    <w:p w14:paraId="10C873E4" w14:textId="752D6BAF" w:rsidR="001D2850" w:rsidRDefault="001D2850" w:rsidP="00CC4608">
      <w:pPr>
        <w:spacing w:after="0"/>
        <w:ind w:firstLine="720"/>
      </w:pPr>
      <w:r>
        <w:t>Crucially, pre-emptive force</w:t>
      </w:r>
      <w:r w:rsidR="00CC4608">
        <w:t xml:space="preserve"> in this case</w:t>
      </w:r>
      <w:r>
        <w:t xml:space="preserve"> is conditional and temporary. As evidence evolves, risks change, and coordination problems diminish, the reasons that justified deference may weaken or disappear. A Razian account therefore does not license indefinite emergency authority. It instead demands continuous reassessment of whether directives continue to serve subjects’ reasons. When they no longer do so, their claim to pre-emptive authority lapses, even if their legal validity remains intact.</w:t>
      </w:r>
    </w:p>
    <w:p w14:paraId="6AC92B90" w14:textId="11BE6647" w:rsidR="001D2850" w:rsidRDefault="001D2850" w:rsidP="00CC4608">
      <w:pPr>
        <w:spacing w:after="0"/>
        <w:ind w:firstLine="720"/>
      </w:pPr>
      <w:r>
        <w:t>This feature helps explain both compliance and resistance during the pandemic. Early acceptance of sweeping measures can be consistent with autonomy where deference genuinely improved agents’ conformity to reasons. Later scepticism, especially where mandates appeared misaligned with local conditions or individual risk, may reflect a reassessment of whether the normal justification thesis continued to hold. Raz’s framework accommodates both responses without collapsing into either authoritarianism or libertarian scepticism.</w:t>
      </w:r>
    </w:p>
    <w:p w14:paraId="05E7D3EB" w14:textId="50666232" w:rsidR="001D2850" w:rsidRDefault="001D2850" w:rsidP="00193977">
      <w:pPr>
        <w:pStyle w:val="Heading3"/>
      </w:pPr>
      <w:r>
        <w:t>3.4 Pandemic Governance as a Benchmark Case</w:t>
      </w:r>
    </w:p>
    <w:p w14:paraId="4D70B6C6" w14:textId="02D1FF0B" w:rsidR="001D2850" w:rsidRDefault="001D2850" w:rsidP="00193977">
      <w:pPr>
        <w:spacing w:after="0"/>
        <w:ind w:firstLine="720"/>
      </w:pPr>
      <w:r>
        <w:t>Public health mandates therefore function in this chapter as a benchmark case for Razian authority. They illustrate how political power can, under certain conditions, satisfy demanding justificatory standards and generate genuine obligations to comply. They also show how fragile that legitimacy is. Authority must track reasons dynamically. It cannot rely on emergency rhetoric or procedural enactment alone.</w:t>
      </w:r>
    </w:p>
    <w:p w14:paraId="172EEEA1" w14:textId="4D320B88" w:rsidR="001D2850" w:rsidRDefault="001D2850" w:rsidP="00193977">
      <w:pPr>
        <w:spacing w:after="0"/>
        <w:ind w:firstLine="720"/>
      </w:pPr>
      <w:r>
        <w:t>This benchmark is important for what follows. If authority struggles to justify itself even in contexts of epistemic uncertainty and shared vulnerability, its claims in other domains should be viewed with heightened scrutiny. Protest restrictions and secularism legislation do not involve the same coordination problems or reliance on specialised expertise. Their justificatory burdens are therefore different, and often heavier.</w:t>
      </w:r>
    </w:p>
    <w:p w14:paraId="7E8555F3" w14:textId="1FC51FC1" w:rsidR="001D2850" w:rsidRDefault="001D2850" w:rsidP="00193977">
      <w:pPr>
        <w:spacing w:after="0"/>
        <w:ind w:firstLine="720"/>
      </w:pPr>
      <w:r>
        <w:t xml:space="preserve">The next sections examine whether state directives in these domains can plausibly be said to serve citizens’ reasons in the way public health mandates sometimes did. The </w:t>
      </w:r>
      <w:r>
        <w:lastRenderedPageBreak/>
        <w:t>contrast will reveal not only the promise of Raz’s service conception, but also the limits of legitimate authority in pluralistic liberal democracies.</w:t>
      </w:r>
      <w:r w:rsidR="00193977">
        <w:t xml:space="preserve"> </w:t>
      </w:r>
    </w:p>
    <w:p w14:paraId="7537D14E" w14:textId="13F145A4" w:rsidR="001D2850" w:rsidRDefault="001D2850" w:rsidP="00193977">
      <w:pPr>
        <w:pStyle w:val="Heading3"/>
      </w:pPr>
      <w:r>
        <w:t>4. Anti-Protest Laws and the Limits of Razian Authority</w:t>
      </w:r>
    </w:p>
    <w:p w14:paraId="4987B23F" w14:textId="2A0957E8" w:rsidR="001D2850" w:rsidRDefault="001D2850" w:rsidP="00193977">
      <w:pPr>
        <w:spacing w:after="0"/>
        <w:ind w:firstLine="720"/>
      </w:pPr>
      <w:r>
        <w:t>If public health mandates represent a strong candidate for justified authority under conditions of uncertainty and collective risk, restrictions on political protest present a markedly different case. Protest regulation does not primarily concern coordination problems or reliance on specialised expertise. It concerns dissent, contestation, and the public articulation of reasons. For that reason, the justificatory burden faced by the state is both different and, in many respects, more demanding.</w:t>
      </w:r>
    </w:p>
    <w:p w14:paraId="783B205C" w14:textId="06000833" w:rsidR="001D2850" w:rsidRDefault="001D2850" w:rsidP="00193977">
      <w:pPr>
        <w:spacing w:after="0"/>
        <w:ind w:firstLine="720"/>
      </w:pPr>
      <w:r>
        <w:t>In recent years, liberal democratic states have enacted a range of legal measures aimed at restricting protests, particularly those associated with environmental activism and civil rights movements. These measures include expanded police powers, heightened penalties for disruptive conduct, limits on assembly near critical infrastructure, and broad definitions of public order offences. Although often defended in the language of safety, efficiency, or economic protection, such laws raise acute questions about whether they can satisfy the conditions of legitimate authority articulate</w:t>
      </w:r>
      <w:r w:rsidR="00193977">
        <w:t>d by Raz.</w:t>
      </w:r>
    </w:p>
    <w:p w14:paraId="5C0F61DE" w14:textId="59123215" w:rsidR="001D2850" w:rsidRDefault="001D2850" w:rsidP="00CB4AFF">
      <w:pPr>
        <w:pStyle w:val="Heading3"/>
      </w:pPr>
      <w:r>
        <w:t>4.1 Protest and the Dependence Thesis</w:t>
      </w:r>
    </w:p>
    <w:p w14:paraId="59180D23" w14:textId="42CEC2B9" w:rsidR="001D2850" w:rsidRDefault="001D2850" w:rsidP="00CB4AFF">
      <w:pPr>
        <w:spacing w:after="0"/>
        <w:ind w:firstLine="720"/>
      </w:pPr>
      <w:r>
        <w:t>The dependence thesis requires that authoritative directives reflect reasons that already apply to their subjects. In the context of protest regulation, the relevant reasons include preventing serious harm, protecting public safety, and maintaining basic social order. These are genuine and weighty considerations. A Razian account does not deny that states may sometimes restrict protest to prevent violence, ensure access to essential services, or avert imminent danger.</w:t>
      </w:r>
    </w:p>
    <w:p w14:paraId="08B766A6" w14:textId="11111B36" w:rsidR="001D2850" w:rsidRDefault="001D2850" w:rsidP="00CB4AFF">
      <w:pPr>
        <w:spacing w:after="0"/>
        <w:ind w:firstLine="720"/>
      </w:pPr>
      <w:r>
        <w:t>However, many contemporary anti-protest laws extend well beyond these narrow aims. By targeting disruption as such, rather than harm, they fail to reflect the full range of reasons that apply to citizens. Political protest is not merely a tolerated inconvenience. It is a central mechanism through which citizens articulate grievances, contest policies, and call attention to failures of justification. Individuals therefore have independent reasons to engage in protest, particularly where ordinary channels of influence appear ineffective or unresponsive.</w:t>
      </w:r>
    </w:p>
    <w:p w14:paraId="65B952C3" w14:textId="6884A358" w:rsidR="001D2850" w:rsidRDefault="001D2850" w:rsidP="00CB4AFF">
      <w:pPr>
        <w:spacing w:after="0"/>
        <w:ind w:firstLine="720"/>
      </w:pPr>
      <w:r>
        <w:t xml:space="preserve">When legal directives treat disruption itself as a sufficient ground for suppression, they risk misrepresenting citizens’ normative situation. The inconvenience caused by protest does not, on its own, outweigh the reasons individuals </w:t>
      </w:r>
      <w:proofErr w:type="gramStart"/>
      <w:r>
        <w:t>have to</w:t>
      </w:r>
      <w:proofErr w:type="gramEnd"/>
      <w:r>
        <w:t xml:space="preserve"> engage in collective dissent. Where the law reflects only reasons of order and efficiency while ignoring reasons of political agency and accountability, it fails the dependence thesis. The directive no longer tracks the reasons that apply to subjects in their role as citizens.</w:t>
      </w:r>
    </w:p>
    <w:p w14:paraId="1B62549F" w14:textId="584D9E96" w:rsidR="001D2850" w:rsidRDefault="001D2850" w:rsidP="00CB4AFF">
      <w:pPr>
        <w:pStyle w:val="Heading3"/>
      </w:pPr>
      <w:r>
        <w:lastRenderedPageBreak/>
        <w:t>4.2 Normal Justification and the Problem of Dissent</w:t>
      </w:r>
    </w:p>
    <w:p w14:paraId="2735797D" w14:textId="34C9D4A2" w:rsidR="001D2850" w:rsidRDefault="001D2850" w:rsidP="00CB4AFF">
      <w:pPr>
        <w:spacing w:after="0"/>
        <w:ind w:firstLine="720"/>
      </w:pPr>
      <w:r>
        <w:t xml:space="preserve">The normal justification thesis asks whether accepting a directive as binding helps subjects better act on their own reasons. In the case of protest restrictions, this condition is rarely met. Citizens are generally well placed to judge whether and how to express dissent </w:t>
      </w:r>
      <w:proofErr w:type="gramStart"/>
      <w:r>
        <w:t>in light of</w:t>
      </w:r>
      <w:proofErr w:type="gramEnd"/>
      <w:r>
        <w:t xml:space="preserve"> their commitments, grievances, and risk tolerance. Unlike epidemiological modelling or emergency coordination, protest does not require specialised expertise that the state is uniquely positioned to supply.</w:t>
      </w:r>
    </w:p>
    <w:p w14:paraId="2F29D47E" w14:textId="3DEF1328" w:rsidR="001D2850" w:rsidRDefault="001D2850" w:rsidP="00CB4AFF">
      <w:pPr>
        <w:spacing w:after="0"/>
        <w:ind w:firstLine="720"/>
      </w:pPr>
      <w:r>
        <w:t>More importantly, suppressing protest often undermines rather than enhances citizens’ ability to act on their reasons. When legal restrictions deter public assembly, limit expressive conduct, or impose severe penalties for nonviolent disruption, they do not guide citizens toward better conformity with their reasons. They obstruct the exercise of political judgement itself. Deference in such cases does not improve practical reasoning. It disables it.</w:t>
      </w:r>
    </w:p>
    <w:p w14:paraId="406CBFD9" w14:textId="790E6909" w:rsidR="001D2850" w:rsidRDefault="001D2850" w:rsidP="00CB4AFF">
      <w:pPr>
        <w:spacing w:after="0"/>
        <w:ind w:firstLine="720"/>
      </w:pPr>
      <w:r>
        <w:t>From a Razian perspective, this is decisive. Where obedience to a directive makes it less likely that citizens can act on their reasons, the normal justification thesis fails. The state’s claim to authority collapses not because protestors reject lawfulness, but because the law no longer serves the reasons that justify political obedience in the first place.</w:t>
      </w:r>
      <w:r w:rsidR="00CB4AFF">
        <w:t xml:space="preserve"> </w:t>
      </w:r>
    </w:p>
    <w:p w14:paraId="12AD9B2E" w14:textId="0D613E6F" w:rsidR="001D2850" w:rsidRDefault="001D2850" w:rsidP="00CB4AFF">
      <w:pPr>
        <w:pStyle w:val="Heading3"/>
      </w:pPr>
      <w:r>
        <w:t>4.3 Pre-emption and the Pathology of Compliance</w:t>
      </w:r>
    </w:p>
    <w:p w14:paraId="57C74858" w14:textId="66A4EB9C" w:rsidR="001D2850" w:rsidRDefault="001D2850" w:rsidP="00CB4AFF">
      <w:pPr>
        <w:spacing w:after="0"/>
        <w:ind w:firstLine="720"/>
      </w:pPr>
      <w:r>
        <w:t>Anti-protest laws also illustrate a pathological use of pre-emptive authority. Such laws often claim exclusionary force by instructing citizens not to deliberate further about the permissibility of dissent. The directive does not merely regulate the manner of protest. It aims to displace deliberation about whether protest is justified at all.</w:t>
      </w:r>
    </w:p>
    <w:p w14:paraId="1828BAC0" w14:textId="5FEF9DDB" w:rsidR="001D2850" w:rsidRDefault="001D2850" w:rsidP="00CB4AFF">
      <w:pPr>
        <w:spacing w:after="0"/>
        <w:ind w:firstLine="720"/>
      </w:pPr>
      <w:r>
        <w:t>This pre-emptive claim is especially problematic. Political protest is one of the primary means by which citizens contest whether authority continues to meet its justificatory burden. To treat protest itself as a matter for pre-emptive exclusion is to short-circuit the very processes through which legitimacy is assessed and renewed. Authority, in this context, becomes self-insulating rather than reason-serving.</w:t>
      </w:r>
    </w:p>
    <w:p w14:paraId="6F6B8D1F" w14:textId="0687C0C4" w:rsidR="001D2850" w:rsidRDefault="001D2850" w:rsidP="00CB4AFF">
      <w:pPr>
        <w:spacing w:after="0"/>
        <w:ind w:firstLine="720"/>
      </w:pPr>
      <w:r>
        <w:t>Raz’s framework makes clear that exclusionary reasons are justified only where authority genuinely improves conformity to reasons. Where pre-emption functions instead to suppress contestation, it loses its normative force. The law may still compel compliance through sanctions, but it no longer generates an obligation to obey. Authority gives way to domination.</w:t>
      </w:r>
    </w:p>
    <w:p w14:paraId="215A31F7" w14:textId="20FAC964" w:rsidR="001D2850" w:rsidRDefault="001D2850" w:rsidP="00CB4AFF">
      <w:pPr>
        <w:pStyle w:val="Heading3"/>
      </w:pPr>
      <w:r>
        <w:t>4.4 Protest, Legitimacy, and Democratic Repair</w:t>
      </w:r>
    </w:p>
    <w:p w14:paraId="376D5BD3" w14:textId="13E7A73E" w:rsidR="001D2850" w:rsidRDefault="001D2850" w:rsidP="00CB4AFF">
      <w:pPr>
        <w:spacing w:after="0"/>
        <w:ind w:firstLine="720"/>
      </w:pPr>
      <w:r>
        <w:t xml:space="preserve">Anti-protest laws thus expose a structural tension within liberal democracies. States seek to preserve order and stability, yet protest is often a response to perceived failures of justification within existing institutions. From a Razian perspective, protest </w:t>
      </w:r>
      <w:r>
        <w:lastRenderedPageBreak/>
        <w:t>should not be viewed as a threat to authority as such. It is often a symptom of authority under strain.</w:t>
      </w:r>
    </w:p>
    <w:p w14:paraId="398A654D" w14:textId="500CBEEB" w:rsidR="001D2850" w:rsidRDefault="001D2850" w:rsidP="00CB4AFF">
      <w:pPr>
        <w:spacing w:after="0"/>
        <w:ind w:firstLine="720"/>
      </w:pPr>
      <w:r>
        <w:t>By restricting protest without demonstrating how such restrictions serve citizens’ own reasons, states risk accelerating the very legitimacy deficits they aim to contain. The result is a feedback loop in which legal power is increasingly asserted while moral authority steadily erodes. Compliance may persist, but it does so without the justificatory support that distinguishes authority from coercion.</w:t>
      </w:r>
    </w:p>
    <w:p w14:paraId="4522962F" w14:textId="1405230D" w:rsidR="001D2850" w:rsidRDefault="001D2850" w:rsidP="00CB4AFF">
      <w:pPr>
        <w:spacing w:after="0"/>
        <w:ind w:firstLine="720"/>
      </w:pPr>
      <w:r>
        <w:t>This analysis does not imply that all protest regulation is illegitimate. Narrow, proportionate restrictions aimed at preventing serious harm may satisfy Raz’s criteria. What it does imply is that broad, punitive, or preventive restrictions on dissent face an exceptionally high justificatory burden. In most cases, that burden is not met.</w:t>
      </w:r>
    </w:p>
    <w:p w14:paraId="4765E17B" w14:textId="77777777" w:rsidR="00CB4AFF" w:rsidRDefault="001D2850" w:rsidP="00CB4AFF">
      <w:pPr>
        <w:spacing w:after="0"/>
        <w:ind w:firstLine="720"/>
      </w:pPr>
      <w:r>
        <w:t xml:space="preserve">The contrast with public health mandates is instructive. Pandemic governance can sometimes enhance citizens’ autonomy by coordinating action under uncertainty. Protest restrictions more often undermine autonomy by foreclosing avenues of political judgement and expression. The Razian audit therefore yields a stark conclusion. </w:t>
      </w:r>
    </w:p>
    <w:p w14:paraId="226662D1" w14:textId="4A9B6B08" w:rsidR="001D2850" w:rsidRDefault="001D2850" w:rsidP="00CB4AFF">
      <w:pPr>
        <w:spacing w:after="0"/>
        <w:ind w:firstLine="720"/>
      </w:pPr>
      <w:r>
        <w:t>In the domain of protest, liberal democratic states frequently exercise power without authority.</w:t>
      </w:r>
    </w:p>
    <w:p w14:paraId="4CE9B2BC" w14:textId="3D42E6C2" w:rsidR="001D2850" w:rsidRDefault="001D2850" w:rsidP="00CB4AFF">
      <w:pPr>
        <w:spacing w:after="0"/>
        <w:ind w:firstLine="720"/>
      </w:pPr>
      <w:r>
        <w:t>The final case study turns to a still more complex challenge for political authority: the regulation of religious expression under conditions of deep ethical pluralism. Quebec’s secularism legislation raises questions not only about dissent, but about whether the state can plausibly claim to serve citizens’ reasons where those reasons are identity-constitutive and incommensurable.</w:t>
      </w:r>
      <w:r w:rsidR="00CB4AFF">
        <w:t xml:space="preserve"> </w:t>
      </w:r>
    </w:p>
    <w:p w14:paraId="6F0DAF0E" w14:textId="22DC7FEF" w:rsidR="009D3E51" w:rsidRDefault="001D2850" w:rsidP="009D3E51">
      <w:pPr>
        <w:pStyle w:val="Heading3"/>
      </w:pPr>
      <w:r>
        <w:t>5. Secularism, Pluralism, and the Limits of Reason-Serving Authority</w:t>
      </w:r>
    </w:p>
    <w:p w14:paraId="5FDBE18B" w14:textId="1E479626" w:rsidR="009D3E51" w:rsidRPr="009D3E51" w:rsidRDefault="009D3E51" w:rsidP="009D3E51">
      <w:pPr>
        <w:spacing w:after="0"/>
        <w:ind w:firstLine="720"/>
      </w:pPr>
      <w:r w:rsidRPr="009D3E51">
        <w:t xml:space="preserve">Quebec’s secularism legislation, commonly known as </w:t>
      </w:r>
      <w:r w:rsidRPr="009D3E51">
        <w:rPr>
          <w:i/>
          <w:iCs/>
        </w:rPr>
        <w:t>Bill 21</w:t>
      </w:r>
      <w:r w:rsidRPr="009D3E51">
        <w:t xml:space="preserve"> (</w:t>
      </w:r>
      <w:r w:rsidRPr="009D3E51">
        <w:rPr>
          <w:i/>
          <w:iCs/>
        </w:rPr>
        <w:t>An Act respecting the laicity of the State</w:t>
      </w:r>
      <w:r w:rsidRPr="009D3E51">
        <w:t>)</w:t>
      </w:r>
      <w:r w:rsidR="004053A5">
        <w:rPr>
          <w:rStyle w:val="FootnoteReference"/>
        </w:rPr>
        <w:footnoteReference w:id="12"/>
      </w:r>
      <w:r w:rsidRPr="009D3E51">
        <w:t>, presents a more complex challenge for political authority than either public-health mandates or protest restrictions. Unlike pandemic governance, it does not primarily concern epistemic uncertainty or collective risk</w:t>
      </w:r>
      <w:r w:rsidR="004053A5">
        <w:t>.</w:t>
      </w:r>
      <w:r w:rsidR="004053A5">
        <w:rPr>
          <w:rStyle w:val="FootnoteReference"/>
        </w:rPr>
        <w:footnoteReference w:id="13"/>
      </w:r>
      <w:r w:rsidRPr="009D3E51">
        <w:t xml:space="preserve"> Unlike protest regulation, it does not target dissent as such. Instead, it regulates the public expression of religious commitment by certain categories of state employees, thereby raising foundational questions about whether political authority can plausibly claim to serve citizens’ reasons under conditions of deep ethical and religious pluralism</w:t>
      </w:r>
      <w:r w:rsidR="008A56A9">
        <w:t>.</w:t>
      </w:r>
      <w:r w:rsidR="008A56A9">
        <w:rPr>
          <w:rStyle w:val="FootnoteReference"/>
        </w:rPr>
        <w:footnoteReference w:id="14"/>
      </w:r>
    </w:p>
    <w:p w14:paraId="71854A66" w14:textId="72A7A439" w:rsidR="009D3E51" w:rsidRPr="009D3E51" w:rsidRDefault="009D3E51" w:rsidP="009D3E51">
      <w:pPr>
        <w:spacing w:after="0"/>
        <w:ind w:firstLine="720"/>
      </w:pPr>
      <w:r w:rsidRPr="009D3E51">
        <w:lastRenderedPageBreak/>
        <w:t>Enacted in 2019, Bill 21 prohibits many public-sector workers—including teachers, judges, prosecutors, and police officers—from wearing visible religious symbols while exercising their professional functions</w:t>
      </w:r>
      <w:r w:rsidR="008A56A9">
        <w:t>.</w:t>
      </w:r>
      <w:r w:rsidR="008A56A9">
        <w:rPr>
          <w:rStyle w:val="FootnoteReference"/>
        </w:rPr>
        <w:footnoteReference w:id="15"/>
      </w:r>
      <w:r w:rsidRPr="009D3E51">
        <w:t xml:space="preserve"> The law is defended by the Quebec government in the language of state neutrality, institutional secularism (</w:t>
      </w:r>
      <w:proofErr w:type="spellStart"/>
      <w:r w:rsidRPr="009D3E51">
        <w:rPr>
          <w:i/>
          <w:iCs/>
        </w:rPr>
        <w:t>laïcité</w:t>
      </w:r>
      <w:proofErr w:type="spellEnd"/>
      <w:r w:rsidRPr="009D3E51">
        <w:t>), and civic equality.</w:t>
      </w:r>
      <w:r w:rsidR="008A56A9">
        <w:rPr>
          <w:rStyle w:val="FootnoteReference"/>
        </w:rPr>
        <w:footnoteReference w:id="16"/>
      </w:r>
      <w:r w:rsidRPr="009D3E51">
        <w:t xml:space="preserve"> Its critics argue that it disproportionately burdens religious minorities, restricts freedom of conscience and religion, and undermines equal access to public employment, particularly for Muslim women who wear the hijab</w:t>
      </w:r>
      <w:r w:rsidR="008A56A9">
        <w:t>.</w:t>
      </w:r>
      <w:r w:rsidR="00F17AE4">
        <w:rPr>
          <w:rStyle w:val="FootnoteReference"/>
        </w:rPr>
        <w:footnoteReference w:id="17"/>
      </w:r>
    </w:p>
    <w:p w14:paraId="066170EB" w14:textId="02553B08" w:rsidR="009D3E51" w:rsidRDefault="009D3E51" w:rsidP="009D3E51">
      <w:pPr>
        <w:spacing w:after="0"/>
        <w:ind w:firstLine="720"/>
      </w:pPr>
      <w:r w:rsidRPr="009D3E51">
        <w:t>From a Razian perspective, the task is not to adjudicate these constitutional or moral disputes directly, but to ask whether the law can satisfy the conditions of legitimate authority. The question is whether restricting religious expression in this way plausibly helps affected citizens better conform to reasons that already apply to them, or whether the law instead substitutes a contested moral vision for agents’ own deliberative judgments</w:t>
      </w:r>
      <w:r w:rsidR="008A56A9">
        <w:t>.</w:t>
      </w:r>
      <w:r w:rsidR="008A56A9">
        <w:rPr>
          <w:rStyle w:val="FootnoteReference"/>
        </w:rPr>
        <w:footnoteReference w:id="18"/>
      </w:r>
      <w:r w:rsidRPr="009D3E51">
        <w:t xml:space="preserve"> Where reasonable citizens disagree not merely about policy means but about the very reasons at stake, the service conception places pressure on claims of pre-emptive authority, even where legal validity is secure</w:t>
      </w:r>
      <w:r w:rsidR="008A56A9">
        <w:t>.</w:t>
      </w:r>
      <w:r w:rsidR="008A56A9">
        <w:rPr>
          <w:rStyle w:val="FootnoteReference"/>
        </w:rPr>
        <w:footnoteReference w:id="19"/>
      </w:r>
      <w:r w:rsidRPr="009D3E51">
        <w:t xml:space="preserve"> </w:t>
      </w:r>
    </w:p>
    <w:p w14:paraId="50B08F4F" w14:textId="4EEF6537" w:rsidR="001D2850" w:rsidRDefault="001D2850" w:rsidP="00A23CF3">
      <w:pPr>
        <w:pStyle w:val="Heading3"/>
      </w:pPr>
      <w:r>
        <w:t>5.1 The Dependence Thesis and Identity-Constitutive Reasons</w:t>
      </w:r>
    </w:p>
    <w:p w14:paraId="016162D6" w14:textId="510AC4EC" w:rsidR="001D2850" w:rsidRDefault="001D2850" w:rsidP="00A23CF3">
      <w:pPr>
        <w:spacing w:after="0"/>
        <w:ind w:firstLine="720"/>
      </w:pPr>
      <w:r>
        <w:t>The dependence thesis requires that authoritative directives reflect reasons that already apply to their subjects. In the case of Bill 21, the relevant reasons are complex and often conflicting. On one side are reasons associated with institutional neutrality, public trust, and the symbolic separation of religion and state. On the other side are reasons grounded in freedom of conscience, religious integrity, and equal participation in civic life.</w:t>
      </w:r>
    </w:p>
    <w:p w14:paraId="38471A71" w14:textId="253178B0" w:rsidR="001D2850" w:rsidRDefault="001D2850" w:rsidP="00A23CF3">
      <w:pPr>
        <w:spacing w:after="0"/>
        <w:ind w:firstLine="720"/>
      </w:pPr>
      <w:r>
        <w:t>What distinguishes this case from earlier ones is that many of the reasons at stake are not merely instrumental. For affected individuals, religious practices and symbols are often identity-constitutive. They are not easily weighed against competing considerations in the manner of preferences or prudential interests. To require individuals to set aside such commitments as a condition of public employment is not simply to regulate conduct. It is to demand a form of ethical compartmentalisation that may conflict with their deepest reasons for action.</w:t>
      </w:r>
    </w:p>
    <w:p w14:paraId="71A9A1A6" w14:textId="75EFC170" w:rsidR="001D2850" w:rsidRDefault="001D2850" w:rsidP="00A23CF3">
      <w:pPr>
        <w:spacing w:after="0"/>
        <w:ind w:firstLine="720"/>
      </w:pPr>
      <w:r>
        <w:t xml:space="preserve">This poses a serious challenge for the dependence thesis. A directive that purports to reflect citizens’ reasons must engage with the full normative landscape those citizens inhabit. Where a law recognises only reasons associated with state symbolism while </w:t>
      </w:r>
      <w:r>
        <w:lastRenderedPageBreak/>
        <w:t>discounting or marginalising reasons of conscience and identity, it risks misrepresenting the reasons that apply to its subjects. In such cases, the directive does not merely prioritise some reasons over others. It denies the normative status of reasons that are central to individuals’ practical identity.</w:t>
      </w:r>
    </w:p>
    <w:p w14:paraId="2BD6A7F3" w14:textId="09DCED29" w:rsidR="001D2850" w:rsidRDefault="001D2850" w:rsidP="00A23CF3">
      <w:pPr>
        <w:spacing w:after="0"/>
        <w:ind w:firstLine="720"/>
      </w:pPr>
      <w:r>
        <w:t>From a Razian standpoint, this is problematic. Authority depends on service to reasons that already apply. Where the state treats certain reasons as illegible or inadmissible, its claim to authority weakens accordingly.</w:t>
      </w:r>
    </w:p>
    <w:p w14:paraId="475C60AB" w14:textId="7B8300F4" w:rsidR="001D2850" w:rsidRDefault="001D2850" w:rsidP="00A23CF3">
      <w:pPr>
        <w:pStyle w:val="Heading3"/>
      </w:pPr>
      <w:r>
        <w:t>5.2 Normal Justification and the Incommensurability Problem</w:t>
      </w:r>
    </w:p>
    <w:p w14:paraId="0971D991" w14:textId="6BC88048" w:rsidR="001D2850" w:rsidRDefault="001D2850" w:rsidP="00A23CF3">
      <w:pPr>
        <w:spacing w:after="0"/>
        <w:ind w:firstLine="720"/>
      </w:pPr>
      <w:r>
        <w:t>The normal justification thesis asks whether treating a directive as binding helps subjects better conform to their reasons. In the context of Bill 21, this condition is difficult to satisfy. For many affected individuals, compliance with the law does not enable better conformity to their reasons. It forces a trade-off between civic participation and ethical integrity.</w:t>
      </w:r>
    </w:p>
    <w:p w14:paraId="73278DD3" w14:textId="05EE3CBA" w:rsidR="001D2850" w:rsidRDefault="001D2850" w:rsidP="00A23CF3">
      <w:pPr>
        <w:spacing w:after="0"/>
        <w:ind w:firstLine="720"/>
      </w:pPr>
      <w:r>
        <w:t>Unlike pandemic mandates, the state does not possess superior epistemic access to the reasons at stake. Nor does Bill 21 resolve a coordination problem among citizens. The reasons involved are not primarily technical or collective. They are personal, ethical, and often incommensurable. Deference in such circumstances does not improve practical reasoning. It displaces it.</w:t>
      </w:r>
    </w:p>
    <w:p w14:paraId="6B22F11D" w14:textId="41FD1589" w:rsidR="001D2850" w:rsidRDefault="001D2850" w:rsidP="00A23CF3">
      <w:pPr>
        <w:spacing w:after="0"/>
        <w:ind w:firstLine="720"/>
      </w:pPr>
      <w:r>
        <w:t>This reveals a structural limitation of authority in pluralistic contexts. Where citizens’ reasons diverge in ways that cannot be reconciled through coordination or expertise, the state’s ability to justify pre-emptive directives diminishes. Authority cannot function as a service where there is no shared metric by which reasons can be better tracked through deference.</w:t>
      </w:r>
    </w:p>
    <w:p w14:paraId="385BE973" w14:textId="25300336" w:rsidR="001D2850" w:rsidRDefault="001D2850" w:rsidP="00A23CF3">
      <w:pPr>
        <w:spacing w:after="0"/>
        <w:ind w:firstLine="720"/>
      </w:pPr>
      <w:r>
        <w:t>From a Razian perspective, this does not imply that the state must accommodate all practices without limit. It does imply that claims to authority are weakest where directives impose uniformity on domains of ethical life that resist standardisation. In such cases, the justificatory burden is especially heavy, and Bill 21 struggles to meet it.</w:t>
      </w:r>
      <w:r w:rsidR="00A23CF3">
        <w:t xml:space="preserve"> </w:t>
      </w:r>
    </w:p>
    <w:p w14:paraId="5FFA1E93" w14:textId="4B6A72E1" w:rsidR="001D2850" w:rsidRDefault="001D2850" w:rsidP="00A23CF3">
      <w:pPr>
        <w:pStyle w:val="Heading3"/>
      </w:pPr>
      <w:r>
        <w:t>5.3 Pre-emption, Neutrality, and Symbolic Power</w:t>
      </w:r>
    </w:p>
    <w:p w14:paraId="0D4A1DAF" w14:textId="4DC5F462" w:rsidR="001D2850" w:rsidRDefault="001D2850" w:rsidP="00A23CF3">
      <w:pPr>
        <w:spacing w:after="0"/>
        <w:ind w:firstLine="720"/>
      </w:pPr>
      <w:r>
        <w:t>Bill 21 also illustrates a distinctive use of pre-emptive authority. The law instructs citizens not merely how to act, but how to present themselves in their civic roles. It claims the power to exclude certain forms of visible commitment from public space in the name of neutrality.</w:t>
      </w:r>
    </w:p>
    <w:p w14:paraId="0BE320E7" w14:textId="3E3D3ADA" w:rsidR="001D2850" w:rsidRDefault="001D2850" w:rsidP="00A23CF3">
      <w:pPr>
        <w:spacing w:after="0"/>
        <w:ind w:firstLine="720"/>
      </w:pPr>
      <w:r>
        <w:t xml:space="preserve">Yet neutrality itself is not a neutral concept. It reflects a substantive vision of the public sphere, one shaped by </w:t>
      </w:r>
      <w:proofErr w:type="gramStart"/>
      <w:r>
        <w:t>particular historical</w:t>
      </w:r>
      <w:proofErr w:type="gramEnd"/>
      <w:r>
        <w:t xml:space="preserve"> and cultural assumptions. To enforce this vision through pre-emptive directives is to treat it as authoritative rather than </w:t>
      </w:r>
      <w:r>
        <w:lastRenderedPageBreak/>
        <w:t>contestable. Citizens are not invited to deliberate about whether neutrality is best realised through uniform appearance. They are instructed to comply.</w:t>
      </w:r>
    </w:p>
    <w:p w14:paraId="663DB63D" w14:textId="4E07A293" w:rsidR="001D2850" w:rsidRDefault="001D2850" w:rsidP="00A23CF3">
      <w:pPr>
        <w:spacing w:after="0"/>
        <w:ind w:firstLine="720"/>
      </w:pPr>
      <w:r>
        <w:t>This use of pre-emptive force is difficult to reconcile with Raz’s criteria. Where authority suppresses rather than mediates contestation over fundamental values, it risks insulating itself from the very reasons it purports to serve. The law may succeed in imposing a particular symbolic order. It does not thereby succeed in generating an obligation to obey.</w:t>
      </w:r>
    </w:p>
    <w:p w14:paraId="59DFCC02" w14:textId="15F4B207" w:rsidR="001D2850" w:rsidRDefault="001D2850" w:rsidP="008C5612">
      <w:pPr>
        <w:pStyle w:val="Heading3"/>
      </w:pPr>
      <w:r>
        <w:t>5.4 Authority, Pluralism, and Moral Remainder</w:t>
      </w:r>
    </w:p>
    <w:p w14:paraId="651F1576" w14:textId="675E7B1A" w:rsidR="001D2850" w:rsidRDefault="001D2850" w:rsidP="009D3E51">
      <w:pPr>
        <w:spacing w:after="0"/>
        <w:ind w:firstLine="720"/>
      </w:pPr>
      <w:r>
        <w:t>The case of Bill 21 reveals a deeper tension within liberal democracies. Political authority depends on its ability to serve citizens’ reasons, yet pluralism ensures that those reasons will often diverge in ways that resist authoritative resolution. In such contexts, the state may face a choice between legal uniformity and moral legitimacy.</w:t>
      </w:r>
    </w:p>
    <w:p w14:paraId="028B3D15" w14:textId="2EA57601" w:rsidR="001D2850" w:rsidRDefault="001D2850" w:rsidP="009D3E51">
      <w:pPr>
        <w:spacing w:after="0"/>
        <w:ind w:firstLine="720"/>
      </w:pPr>
      <w:r>
        <w:t>A Razian audit does not dictate a single outcome. It does, however, clarify the cost of certain choices. Where the state enacts directives that systematically fail to reflect or advance the reasons of affected minorities, it forfeits its claim to authority over those domains. Compliance may continue, but it does so under conditions of moral remainder. The law binds legally, but it does not obligate.</w:t>
      </w:r>
    </w:p>
    <w:p w14:paraId="1802DBE2" w14:textId="1CACCAE0" w:rsidR="001D2850" w:rsidRDefault="001D2850" w:rsidP="009D3E51">
      <w:pPr>
        <w:spacing w:after="0"/>
        <w:ind w:firstLine="720"/>
      </w:pPr>
      <w:r>
        <w:t>This conclusion is not an endorsement of disobedience. It is a diagnosis of legitimacy failure. Authority, on Raz’s account, is conditional and episodic. Bill 21 illustrates how authority can falter not because the state lacks power, but because it lacks the justificatory resources required to claim obedience from citizens whose reasons it does not serve.</w:t>
      </w:r>
    </w:p>
    <w:p w14:paraId="40E22F88" w14:textId="2BEFA3EE" w:rsidR="001D2850" w:rsidRDefault="001D2850" w:rsidP="009D3E51">
      <w:pPr>
        <w:pStyle w:val="Heading3"/>
      </w:pPr>
      <w:r>
        <w:t>5.5 Completing the Razian Audit</w:t>
      </w:r>
    </w:p>
    <w:p w14:paraId="62EA076E" w14:textId="2370AFEA" w:rsidR="001D2850" w:rsidRDefault="001D2850" w:rsidP="009D3E51">
      <w:pPr>
        <w:spacing w:after="0"/>
        <w:ind w:firstLine="720"/>
      </w:pPr>
      <w:r>
        <w:t>Taken together, the three case studies illustrate the uneven performance of state authority across domains. Public health mandates show how authority can succeed under conditions of uncertainty and coordination. Anti-protest laws reveal how authority can fail when it turns against dissent. Secularism legislation exposes the limits of authority in pluralistic contexts where reasons are identity-constitutive and incommensurable.</w:t>
      </w:r>
    </w:p>
    <w:p w14:paraId="472BEDEA" w14:textId="54D7DDC3" w:rsidR="001D2850" w:rsidRDefault="001D2850" w:rsidP="009D3E51">
      <w:pPr>
        <w:spacing w:after="0"/>
        <w:ind w:firstLine="720"/>
      </w:pPr>
      <w:r>
        <w:t>The Razian service conception does not promise harmony. It offers a demanding standard by which claims to authority can be assessed. In doing so, it supports a form of liberalism that treats legitimacy as a moral achievement rather than a background entitlement. Where authority serves, obedience is justified. Where it does not, legitimacy must be reclaimed through reform rather than assumed.</w:t>
      </w:r>
      <w:r w:rsidR="009D3E51">
        <w:t xml:space="preserve"> </w:t>
      </w:r>
    </w:p>
    <w:p w14:paraId="0352DD57" w14:textId="35195E4E" w:rsidR="001D2850" w:rsidRDefault="001D2850" w:rsidP="009D3E51">
      <w:pPr>
        <w:pStyle w:val="Heading3"/>
      </w:pPr>
      <w:r>
        <w:lastRenderedPageBreak/>
        <w:t>6. Authority as a Moral Achievement</w:t>
      </w:r>
    </w:p>
    <w:p w14:paraId="45461F10" w14:textId="77777777" w:rsidR="00DA35CC" w:rsidRPr="00DA35CC" w:rsidRDefault="001D2850" w:rsidP="00DA35CC">
      <w:pPr>
        <w:spacing w:after="0"/>
        <w:ind w:firstLine="720"/>
      </w:pPr>
      <w:r>
        <w:t xml:space="preserve">This chapter has applied </w:t>
      </w:r>
      <w:r w:rsidR="009D3E51">
        <w:t>Raz</w:t>
      </w:r>
      <w:r w:rsidR="00DA35CC">
        <w:t>’s</w:t>
      </w:r>
      <w:r w:rsidR="009D3E51">
        <w:t xml:space="preserve"> </w:t>
      </w:r>
      <w:r>
        <w:t xml:space="preserve">service conception of authority as a normative audit of state power in contemporary liberal democracies. Rather than asking whether the state possesses authority in the abstract, the analysis has examined whether </w:t>
      </w:r>
      <w:proofErr w:type="gramStart"/>
      <w:r>
        <w:t>particular legal</w:t>
      </w:r>
      <w:proofErr w:type="gramEnd"/>
      <w:r>
        <w:t xml:space="preserve"> directives plausibly serve the reasons of those subject to them. The results underscore a central Razian insight. </w:t>
      </w:r>
      <w:r w:rsidR="00DA35CC" w:rsidRPr="00DA35CC">
        <w:t>Authority is not a standing entitlement of political institutions, but a conditional and episodic achievement that must be continually earned.</w:t>
      </w:r>
    </w:p>
    <w:p w14:paraId="31725D3E" w14:textId="2E228CD8" w:rsidR="001D2850" w:rsidRDefault="001D2850" w:rsidP="009D3E51">
      <w:pPr>
        <w:spacing w:after="0"/>
        <w:ind w:firstLine="720"/>
      </w:pPr>
      <w:r>
        <w:t xml:space="preserve">The three case studies illustrate this point from different angles. Public health mandates during the COVID-19 pandemic show how authority can succeed under conditions of epistemic uncertainty and collective risk. Where directives reflected citizens’ reasons to avoid harm and where deference plausibly improved conformity to those reasons, obedience was autonomy-enhancing rather than autonomy-undermining. Anti-protest laws reveal a contrasting failure mode. By suppressing dissent rather than coordinating action or supplying epistemic guidance, such laws often obstruct citizens’ capacity to act on their own reasons. In these cases, legal power persists, but </w:t>
      </w:r>
      <w:r w:rsidR="00B21B30">
        <w:t xml:space="preserve">the claim to </w:t>
      </w:r>
      <w:r>
        <w:t xml:space="preserve">authority </w:t>
      </w:r>
      <w:r w:rsidR="00B21B30">
        <w:t>fails</w:t>
      </w:r>
      <w:r>
        <w:t>. Quebec’s secularism legislation presents the most demanding test. Where directives impose uniformity on identity-constitutive commitments and deny the normative status of reasons grounded in conscience, the state’s claim to authority is especially fragile.</w:t>
      </w:r>
    </w:p>
    <w:p w14:paraId="5BE9E8E2" w14:textId="342E6479" w:rsidR="001D2850" w:rsidRDefault="001D2850" w:rsidP="009D3E51">
      <w:pPr>
        <w:spacing w:after="0"/>
        <w:ind w:firstLine="720"/>
      </w:pPr>
      <w:r>
        <w:t>Taken together, these cases support a more exacting conception of liberal legitimacy. Legal validity, democratic enactment, and institutional continuity are insufficient to ground political obligation on their own. What matters is whether deference to a directive plausibly helps citizens act on reasons they already have. Where that condition is met, authority may justifiably claim obedience. Where it is not, compliance lacks moral force even if it remains legally compelled.</w:t>
      </w:r>
    </w:p>
    <w:p w14:paraId="60700D9F" w14:textId="50B2CB49" w:rsidR="001D2850" w:rsidRDefault="001D2850" w:rsidP="009D3E51">
      <w:pPr>
        <w:spacing w:after="0"/>
        <w:ind w:firstLine="720"/>
      </w:pPr>
      <w:r>
        <w:t>This conclusion has implications beyond the specific domains examined here. In complex federal systems and multinational states, authority is exercised across layered jurisdictions and diverse social contexts. Where central institutions repeatedly issue directives that significant segments of the population cannot recognise as serving their reasons, political obligation becomes strained. In such conditions, calls for decentralisation, jurisdictional autonomy, or even sovereignty need not be understood solely as expressions of identity politics or populist disaffection. They may also reflect a perceived breakdown in justificatory alignment between governing authority and the reasons of the governed.</w:t>
      </w:r>
    </w:p>
    <w:p w14:paraId="11192CB1" w14:textId="762DA168" w:rsidR="001D2850" w:rsidRDefault="001D2850" w:rsidP="009D3E51">
      <w:pPr>
        <w:spacing w:after="0"/>
        <w:ind w:firstLine="720"/>
      </w:pPr>
      <w:r>
        <w:t xml:space="preserve">From a Razian perspective, these movements can be read as symptoms of contested authority rather than wholesale rejections of liberal legality. When citizens seek alternative sites of decision-making, they are often seeking institutions whose directives </w:t>
      </w:r>
      <w:r>
        <w:lastRenderedPageBreak/>
        <w:t>they can more readily regard as reason-serving, intelligible, and responsive. This does not entail that such movements are normatively justified. It does suggest that their appeal cannot be fully understood without attending to the conditions under which authority succeeds or fails as a service to practical reason.</w:t>
      </w:r>
    </w:p>
    <w:p w14:paraId="24E2D9A5" w14:textId="4F961694" w:rsidR="001D2850" w:rsidRDefault="001D2850" w:rsidP="009D3E51">
      <w:pPr>
        <w:spacing w:after="0"/>
        <w:ind w:firstLine="720"/>
      </w:pPr>
      <w:r>
        <w:t>This diagnosis does not support philosophical anarchism. Authority remains possible, and often necessary, in societies marked by interdependence, risk, and epistemic limitation. It does, however, reject the assumption that authority can be insulated from contestation by procedure alone. Liberal democracies depend not only on constitutional form and coercive capacity, but on ongoing justificatory relations between state directives and citizens’ reasons.</w:t>
      </w:r>
    </w:p>
    <w:p w14:paraId="31166248" w14:textId="1CB46345" w:rsidR="001E7D7F" w:rsidRDefault="001D2850" w:rsidP="004068D0">
      <w:pPr>
        <w:ind w:firstLine="720"/>
      </w:pPr>
      <w:r>
        <w:t xml:space="preserve">The Razian framework thus clarifies what is at stake in contemporary legitimacy crises. When political obligation weakens, the problem is rarely obedience as such. It is the erosion of authority understood as a moral relation grounded in service to reason. Where that service falters, legitimacy wanes. Where it succeeds, obedience is not merely habitual or </w:t>
      </w:r>
      <w:r w:rsidR="008C5612">
        <w:t>strategic but</w:t>
      </w:r>
      <w:r>
        <w:t xml:space="preserve"> justified.</w:t>
      </w:r>
      <w:r w:rsidR="009D3E51">
        <w:t xml:space="preserve"> </w:t>
      </w:r>
      <w:r>
        <w:t>Seen in this light, a Razian audit of state authority does not ask whether the state governs, but whether its directives continue to earn the right to govern. Political obligation, on this view, is not secured by power, procedure, or endurance alone, but by the ongoing success of authority as a service to reason.</w:t>
      </w:r>
      <w:r w:rsidR="00DA35CC">
        <w:t xml:space="preserve"> </w:t>
      </w:r>
      <w:r w:rsidR="00DA35CC" w:rsidRPr="00DA35CC">
        <w:t>What emerges is a reason-responsive account of liberal legitimacy, on which authority is earned through ongoing service to citizens’ practical reasons rather than secured by procedure alone.</w:t>
      </w:r>
    </w:p>
    <w:p w14:paraId="72B91205" w14:textId="20E56DDC" w:rsidR="00444205" w:rsidRDefault="004068D0" w:rsidP="004068D0">
      <w:pPr>
        <w:pStyle w:val="Heading3"/>
      </w:pPr>
      <w:r>
        <w:t>Works Cited</w:t>
      </w:r>
    </w:p>
    <w:p w14:paraId="64459F19" w14:textId="76115802" w:rsidR="007C2E9E" w:rsidRDefault="0078665A" w:rsidP="0078665A">
      <w:pPr>
        <w:spacing w:after="0" w:line="240" w:lineRule="auto"/>
        <w:ind w:left="720" w:hanging="720"/>
        <w:rPr>
          <w:noProof/>
        </w:rPr>
      </w:pPr>
      <w:r>
        <w:fldChar w:fldCharType="begin" w:fldLock="1"/>
      </w:r>
      <w:r w:rsidR="007C2E9E">
        <w:instrText>ADDIN paperpile_bibliography &lt;pp-bibliography&gt;&lt;first-reference-indices&gt;&lt;formatting&gt;1&lt;/formatting&gt;&lt;space-after&gt;1&lt;/space-after&gt;&lt;/first-reference-indices&gt;&lt;/pp-bibliography&gt; \* MERGEFORMAT</w:instrText>
      </w:r>
      <w:r>
        <w:fldChar w:fldCharType="separate"/>
      </w:r>
      <w:r w:rsidR="007C2E9E">
        <w:rPr>
          <w:noProof/>
        </w:rPr>
        <w:t xml:space="preserve">Besner, Linda. “Quebec’s War on Religion.” </w:t>
      </w:r>
      <w:r w:rsidR="007C2E9E" w:rsidRPr="007C2E9E">
        <w:rPr>
          <w:i/>
          <w:noProof/>
        </w:rPr>
        <w:t>Maclean’s</w:t>
      </w:r>
      <w:r w:rsidR="007C2E9E">
        <w:rPr>
          <w:noProof/>
        </w:rPr>
        <w:t>, September 22, 2025. https://macleans.ca/longforms/quebecs-war-on-religion-2/.</w:t>
      </w:r>
    </w:p>
    <w:p w14:paraId="41766A9B" w14:textId="77777777" w:rsidR="007C2E9E" w:rsidRDefault="007C2E9E" w:rsidP="0078665A">
      <w:pPr>
        <w:spacing w:after="0" w:line="240" w:lineRule="auto"/>
        <w:ind w:left="720" w:hanging="720"/>
        <w:rPr>
          <w:noProof/>
        </w:rPr>
      </w:pPr>
      <w:r>
        <w:rPr>
          <w:noProof/>
        </w:rPr>
        <w:t xml:space="preserve">Maclure, Jocelyn, and Charles Taylor. </w:t>
      </w:r>
      <w:r w:rsidRPr="007C2E9E">
        <w:rPr>
          <w:i/>
          <w:noProof/>
        </w:rPr>
        <w:t>Secularism and Freedom of Conscience</w:t>
      </w:r>
      <w:r>
        <w:rPr>
          <w:noProof/>
        </w:rPr>
        <w:t>. Translated by Jane Marie Todd. London, England: Harvard University Press, 2011.</w:t>
      </w:r>
    </w:p>
    <w:p w14:paraId="3C386C45" w14:textId="77777777" w:rsidR="007C2E9E" w:rsidRDefault="007C2E9E" w:rsidP="0078665A">
      <w:pPr>
        <w:spacing w:after="0" w:line="240" w:lineRule="auto"/>
        <w:ind w:left="720" w:hanging="720"/>
        <w:rPr>
          <w:noProof/>
        </w:rPr>
      </w:pPr>
      <w:r>
        <w:rPr>
          <w:noProof/>
        </w:rPr>
        <w:t xml:space="preserve">Mamlok, Dan. “Bill 21 as an Exemplar of the Fragility of Tolerance.” </w:t>
      </w:r>
      <w:r w:rsidRPr="007C2E9E">
        <w:rPr>
          <w:i/>
          <w:noProof/>
        </w:rPr>
        <w:t>Discourse: Studies in the Cultural Politics of Education</w:t>
      </w:r>
      <w:r>
        <w:rPr>
          <w:noProof/>
        </w:rPr>
        <w:t xml:space="preserve"> 45, no. 1 (January 2, 2024): 58–69.</w:t>
      </w:r>
    </w:p>
    <w:p w14:paraId="5026263C" w14:textId="77777777" w:rsidR="007C2E9E" w:rsidRDefault="007C2E9E" w:rsidP="0078665A">
      <w:pPr>
        <w:spacing w:after="0" w:line="240" w:lineRule="auto"/>
        <w:ind w:left="720" w:hanging="720"/>
        <w:rPr>
          <w:noProof/>
        </w:rPr>
      </w:pPr>
      <w:r>
        <w:rPr>
          <w:noProof/>
        </w:rPr>
        <w:t xml:space="preserve">Raz, Joseph. </w:t>
      </w:r>
      <w:r w:rsidRPr="007C2E9E">
        <w:rPr>
          <w:i/>
          <w:noProof/>
        </w:rPr>
        <w:t>Practical Reason and Norms</w:t>
      </w:r>
      <w:r>
        <w:rPr>
          <w:noProof/>
        </w:rPr>
        <w:t>. London, England: Oxford University Press, 1999.</w:t>
      </w:r>
    </w:p>
    <w:p w14:paraId="252DAB4A" w14:textId="77777777" w:rsidR="007C2E9E" w:rsidRDefault="007C2E9E" w:rsidP="0078665A">
      <w:pPr>
        <w:spacing w:after="0" w:line="240" w:lineRule="auto"/>
        <w:ind w:left="720" w:hanging="720"/>
        <w:rPr>
          <w:noProof/>
        </w:rPr>
      </w:pPr>
      <w:r>
        <w:rPr>
          <w:noProof/>
        </w:rPr>
        <w:t xml:space="preserve">———. </w:t>
      </w:r>
      <w:r w:rsidRPr="007C2E9E">
        <w:rPr>
          <w:i/>
          <w:noProof/>
        </w:rPr>
        <w:t>The Authority of Law</w:t>
      </w:r>
      <w:r>
        <w:rPr>
          <w:noProof/>
        </w:rPr>
        <w:t>. 2nd ed. London, England: Oxford University Press, 2009.</w:t>
      </w:r>
    </w:p>
    <w:p w14:paraId="7B36792A" w14:textId="77777777" w:rsidR="007C2E9E" w:rsidRDefault="007C2E9E" w:rsidP="0078665A">
      <w:pPr>
        <w:spacing w:after="0" w:line="240" w:lineRule="auto"/>
        <w:ind w:left="720" w:hanging="720"/>
        <w:rPr>
          <w:noProof/>
        </w:rPr>
      </w:pPr>
      <w:r>
        <w:rPr>
          <w:noProof/>
        </w:rPr>
        <w:t xml:space="preserve">———. </w:t>
      </w:r>
      <w:r w:rsidRPr="007C2E9E">
        <w:rPr>
          <w:i/>
          <w:noProof/>
        </w:rPr>
        <w:t>The Morality of Freedom</w:t>
      </w:r>
      <w:r>
        <w:rPr>
          <w:noProof/>
        </w:rPr>
        <w:t>. Oxford, England: Clarendon Press, 1986.</w:t>
      </w:r>
    </w:p>
    <w:p w14:paraId="64A410F3" w14:textId="77777777" w:rsidR="007C2E9E" w:rsidRDefault="007C2E9E" w:rsidP="0078665A">
      <w:pPr>
        <w:spacing w:after="0" w:line="240" w:lineRule="auto"/>
        <w:ind w:left="720" w:hanging="720"/>
        <w:rPr>
          <w:noProof/>
        </w:rPr>
      </w:pPr>
      <w:r>
        <w:rPr>
          <w:noProof/>
        </w:rPr>
        <w:t xml:space="preserve">Simmons, A. John. </w:t>
      </w:r>
      <w:r w:rsidRPr="007C2E9E">
        <w:rPr>
          <w:i/>
          <w:noProof/>
        </w:rPr>
        <w:t>Moral Principles and Political Obligations</w:t>
      </w:r>
      <w:r>
        <w:rPr>
          <w:noProof/>
        </w:rPr>
        <w:t>. Princeton, NJ: Princeton University Press, 2020.</w:t>
      </w:r>
    </w:p>
    <w:p w14:paraId="1BA444E5" w14:textId="052B19E4" w:rsidR="00444205" w:rsidRPr="00DE1755" w:rsidRDefault="007C2E9E" w:rsidP="0078665A">
      <w:pPr>
        <w:spacing w:after="0" w:line="240" w:lineRule="auto"/>
        <w:ind w:left="720" w:hanging="720"/>
      </w:pPr>
      <w:r>
        <w:rPr>
          <w:noProof/>
        </w:rPr>
        <w:t xml:space="preserve">Wolff, Robert Paul. </w:t>
      </w:r>
      <w:r w:rsidRPr="007C2E9E">
        <w:rPr>
          <w:i/>
          <w:noProof/>
        </w:rPr>
        <w:t>In Defense of Anarchism</w:t>
      </w:r>
      <w:r>
        <w:rPr>
          <w:noProof/>
        </w:rPr>
        <w:t>. University of Califorina Press, 1998.</w:t>
      </w:r>
      <w:r w:rsidR="0078665A">
        <w:fldChar w:fldCharType="end"/>
      </w:r>
    </w:p>
    <w:sectPr w:rsidR="00444205" w:rsidRPr="00DE1755">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C051" w14:textId="77777777" w:rsidR="005357DB" w:rsidRDefault="005357DB" w:rsidP="003816A7">
      <w:pPr>
        <w:spacing w:after="0" w:line="240" w:lineRule="auto"/>
      </w:pPr>
      <w:r>
        <w:separator/>
      </w:r>
    </w:p>
  </w:endnote>
  <w:endnote w:type="continuationSeparator" w:id="0">
    <w:p w14:paraId="0D9C0478" w14:textId="77777777" w:rsidR="005357DB" w:rsidRDefault="005357DB" w:rsidP="0038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6442871"/>
      <w:docPartObj>
        <w:docPartGallery w:val="Page Numbers (Bottom of Page)"/>
        <w:docPartUnique/>
      </w:docPartObj>
    </w:sdtPr>
    <w:sdtContent>
      <w:p w14:paraId="635F5E59" w14:textId="69D7C6CE" w:rsidR="004068D0" w:rsidRDefault="004068D0" w:rsidP="007E53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C17AD47" w14:textId="77777777" w:rsidR="004068D0" w:rsidRDefault="004068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0100279"/>
      <w:docPartObj>
        <w:docPartGallery w:val="Page Numbers (Bottom of Page)"/>
        <w:docPartUnique/>
      </w:docPartObj>
    </w:sdtPr>
    <w:sdtContent>
      <w:p w14:paraId="62CCD9C6" w14:textId="1C77DD2B" w:rsidR="004068D0" w:rsidRDefault="004068D0" w:rsidP="007E53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6096DF9" w14:textId="77777777" w:rsidR="004068D0" w:rsidRDefault="00406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2E51" w14:textId="77777777" w:rsidR="005357DB" w:rsidRDefault="005357DB" w:rsidP="003816A7">
      <w:pPr>
        <w:spacing w:after="0" w:line="240" w:lineRule="auto"/>
      </w:pPr>
      <w:r>
        <w:separator/>
      </w:r>
    </w:p>
  </w:footnote>
  <w:footnote w:type="continuationSeparator" w:id="0">
    <w:p w14:paraId="1D39EF66" w14:textId="77777777" w:rsidR="005357DB" w:rsidRDefault="005357DB" w:rsidP="003816A7">
      <w:pPr>
        <w:spacing w:after="0" w:line="240" w:lineRule="auto"/>
      </w:pPr>
      <w:r>
        <w:continuationSeparator/>
      </w:r>
    </w:p>
  </w:footnote>
  <w:footnote w:id="1">
    <w:p w14:paraId="118F1B43" w14:textId="57EDB710" w:rsidR="00F4572F" w:rsidRDefault="00F4572F" w:rsidP="00F4572F">
      <w:pPr>
        <w:pStyle w:val="FootnoteText"/>
      </w:pPr>
      <w:r>
        <w:rPr>
          <w:rStyle w:val="FootnoteReference"/>
        </w:rPr>
        <w:footnoteRef/>
      </w:r>
      <w:r>
        <w:t xml:space="preserve"> </w:t>
      </w:r>
      <w:r>
        <w:fldChar w:fldCharType="begin" w:fldLock="1"/>
      </w:r>
      <w:r w:rsidR="007C2E9E">
        <w:instrText>ADDIN paperpile_citation &lt;clusterId&gt;M378Z638O119T731&lt;/clusterId&gt;&lt;metadata&gt;&lt;citation&gt;&lt;id&gt;84e4effb-4a5e-4725-bb8b-a9bf09f679e3&lt;/id&gt;&lt;locator&gt;57-62&lt;/locator&gt;&lt;/citation&gt;&lt;/metadata&gt;&lt;data&gt;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&lt;/data&gt; \* MERGEFORMAT</w:instrText>
      </w:r>
      <w:r>
        <w:fldChar w:fldCharType="separate"/>
      </w:r>
      <w:r w:rsidR="007C2E9E">
        <w:rPr>
          <w:noProof/>
        </w:rPr>
        <w:t xml:space="preserve">A. John Simmons, </w:t>
      </w:r>
      <w:r w:rsidR="007C2E9E" w:rsidRPr="007C2E9E">
        <w:rPr>
          <w:i/>
          <w:noProof/>
        </w:rPr>
        <w:t>Moral Principles and Political Obligations</w:t>
      </w:r>
      <w:r w:rsidR="007C2E9E">
        <w:rPr>
          <w:noProof/>
        </w:rPr>
        <w:t xml:space="preserve"> (Princeton, NJ: Princeton University Press, 2020), 57–62.</w:t>
      </w:r>
      <w:r>
        <w:fldChar w:fldCharType="end"/>
      </w:r>
    </w:p>
  </w:footnote>
  <w:footnote w:id="2">
    <w:p w14:paraId="663DB752" w14:textId="47D72D5B" w:rsidR="00F4572F" w:rsidRDefault="00F4572F">
      <w:pPr>
        <w:pStyle w:val="FootnoteText"/>
      </w:pPr>
      <w:r>
        <w:rPr>
          <w:rStyle w:val="FootnoteReference"/>
        </w:rPr>
        <w:footnoteRef/>
      </w:r>
      <w:r>
        <w:t xml:space="preserve"> </w:t>
      </w:r>
      <w:r>
        <w:fldChar w:fldCharType="begin" w:fldLock="1"/>
      </w:r>
      <w:r>
        <w:instrText>ADDIN paperpile_citation &lt;clusterId&gt;M948A928W418T199&lt;/clusterId&gt;&lt;metadata&gt;&lt;citation&gt;&lt;id&gt;b8f9a35c-584c-475c-82e2-9f371d88b29e&lt;/id&gt;&lt;locator&gt;53-59&lt;/locator&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 xml:space="preserve">Joseph Raz, </w:t>
      </w:r>
      <w:r w:rsidR="00460131" w:rsidRPr="00460131">
        <w:rPr>
          <w:i/>
          <w:noProof/>
        </w:rPr>
        <w:t>The Morality of Freedom</w:t>
      </w:r>
      <w:r w:rsidR="00460131">
        <w:rPr>
          <w:noProof/>
        </w:rPr>
        <w:t xml:space="preserve"> (Oxford, England: Clarendon Press, 1986), 53–59.</w:t>
      </w:r>
      <w:r>
        <w:fldChar w:fldCharType="end"/>
      </w:r>
    </w:p>
  </w:footnote>
  <w:footnote w:id="3">
    <w:p w14:paraId="746A1E75" w14:textId="38E0500C" w:rsidR="00F4572F" w:rsidRDefault="00F4572F">
      <w:pPr>
        <w:pStyle w:val="FootnoteText"/>
      </w:pPr>
      <w:r>
        <w:rPr>
          <w:rStyle w:val="FootnoteReference"/>
        </w:rPr>
        <w:footnoteRef/>
      </w:r>
      <w:r>
        <w:t xml:space="preserve"> </w:t>
      </w:r>
      <w:r>
        <w:fldChar w:fldCharType="begin" w:fldLock="1"/>
      </w:r>
      <w:r>
        <w:instrText>ADDIN paperpile_citation &lt;clusterId&gt;V318I466X756V469&lt;/clusterId&gt;&lt;metadata&gt;&lt;citation&gt;&lt;id&gt;b8f9a35c-584c-475c-82e2-9f371d88b29e&lt;/id&gt;&lt;locator&gt;46-47&lt;/locator&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Raz, 46–47.</w:t>
      </w:r>
      <w:r>
        <w:fldChar w:fldCharType="end"/>
      </w:r>
    </w:p>
  </w:footnote>
  <w:footnote w:id="4">
    <w:p w14:paraId="256036F6" w14:textId="064A3DF1" w:rsidR="00F4572F" w:rsidRDefault="00F4572F" w:rsidP="00F4572F">
      <w:pPr>
        <w:pStyle w:val="FootnoteText"/>
      </w:pPr>
      <w:r>
        <w:rPr>
          <w:rStyle w:val="FootnoteReference"/>
        </w:rPr>
        <w:footnoteRef/>
      </w:r>
      <w:r>
        <w:t xml:space="preserve"> </w:t>
      </w:r>
      <w:r>
        <w:fldChar w:fldCharType="begin" w:fldLock="1"/>
      </w:r>
      <w:r w:rsidR="0078665A">
        <w:instrText>ADDIN paperpile_citation &lt;clusterId&gt;J537X885M365J988&lt;/clusterId&gt;&lt;metadata&gt;&lt;citation&gt;&lt;id&gt;2173f5d0-97fc-49f8-9f91-56dab914c69c&lt;/id&gt;&lt;locator&gt;18-19&lt;/locator&gt;&lt;/citation&gt;&lt;/metadata&gt;&lt;data&gt;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&lt;/data&gt; \* MERGEFORMAT</w:instrText>
      </w:r>
      <w:r>
        <w:fldChar w:fldCharType="separate"/>
      </w:r>
      <w:r w:rsidR="0078665A">
        <w:rPr>
          <w:noProof/>
        </w:rPr>
        <w:t xml:space="preserve">Robert Paul Wolff, </w:t>
      </w:r>
      <w:r w:rsidR="0078665A" w:rsidRPr="0078665A">
        <w:rPr>
          <w:i/>
          <w:noProof/>
        </w:rPr>
        <w:t>In Defense of Anarchism</w:t>
      </w:r>
      <w:r w:rsidR="0078665A">
        <w:rPr>
          <w:noProof/>
        </w:rPr>
        <w:t xml:space="preserve"> (University of Califorina Press, 1998), 18–19.</w:t>
      </w:r>
      <w:r>
        <w:fldChar w:fldCharType="end"/>
      </w:r>
    </w:p>
  </w:footnote>
  <w:footnote w:id="5">
    <w:p w14:paraId="3B74FF17" w14:textId="32882025" w:rsidR="00665ECA" w:rsidRDefault="00665ECA">
      <w:pPr>
        <w:pStyle w:val="FootnoteText"/>
      </w:pPr>
      <w:r>
        <w:rPr>
          <w:rStyle w:val="FootnoteReference"/>
        </w:rPr>
        <w:footnoteRef/>
      </w:r>
      <w:r>
        <w:t xml:space="preserve"> </w:t>
      </w:r>
      <w:r>
        <w:fldChar w:fldCharType="begin" w:fldLock="1"/>
      </w:r>
      <w:r>
        <w:instrText>ADDIN paperpile_citation &lt;clusterId&gt;F643S739H411M114&lt;/clusterId&gt;&lt;metadata&gt;&lt;citation&gt;&lt;id&gt;b8f9a35c-584c-475c-82e2-9f371d88b29e&lt;/id&gt;&lt;locator&gt;53-59&lt;/locator&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 xml:space="preserve">Raz, </w:t>
      </w:r>
      <w:r w:rsidR="00460131" w:rsidRPr="00460131">
        <w:rPr>
          <w:i/>
          <w:noProof/>
        </w:rPr>
        <w:t>The Morality of Freedom</w:t>
      </w:r>
      <w:r w:rsidR="00460131">
        <w:rPr>
          <w:noProof/>
        </w:rPr>
        <w:t>, 53–59.</w:t>
      </w:r>
      <w:r>
        <w:fldChar w:fldCharType="end"/>
      </w:r>
    </w:p>
  </w:footnote>
  <w:footnote w:id="6">
    <w:p w14:paraId="07145461" w14:textId="38342D9B" w:rsidR="00665ECA" w:rsidRDefault="00665ECA">
      <w:pPr>
        <w:pStyle w:val="FootnoteText"/>
      </w:pPr>
      <w:r>
        <w:rPr>
          <w:rStyle w:val="FootnoteReference"/>
        </w:rPr>
        <w:footnoteRef/>
      </w:r>
      <w:r>
        <w:t xml:space="preserve"> </w:t>
      </w:r>
      <w:r>
        <w:fldChar w:fldCharType="begin" w:fldLock="1"/>
      </w:r>
      <w:r>
        <w:instrText>ADDIN paperpile_citation &lt;clusterId&gt;O443C493Y184V514&lt;/clusterId&gt;&lt;metadata&gt;&lt;citation&gt;&lt;id&gt;b8f9a35c-584c-475c-82e2-9f371d88b29e&lt;/id&gt;&lt;locator&gt;47&lt;/locator&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Raz, 47.</w:t>
      </w:r>
      <w:r>
        <w:fldChar w:fldCharType="end"/>
      </w:r>
    </w:p>
  </w:footnote>
  <w:footnote w:id="7">
    <w:p w14:paraId="0AB03D69" w14:textId="0939B4CB" w:rsidR="001A019E" w:rsidRDefault="001A019E">
      <w:pPr>
        <w:pStyle w:val="FootnoteText"/>
      </w:pPr>
      <w:r>
        <w:rPr>
          <w:rStyle w:val="FootnoteReference"/>
        </w:rPr>
        <w:footnoteRef/>
      </w:r>
      <w:r>
        <w:t xml:space="preserve"> </w:t>
      </w:r>
      <w:r>
        <w:fldChar w:fldCharType="begin" w:fldLock="1"/>
      </w:r>
      <w:r>
        <w:instrText>ADDIN paperpile_citation &lt;clusterId&gt;V935J983F673C196&lt;/clusterId&gt;&lt;metadata&gt;&lt;citation&gt;&lt;id&gt;b8f9a35c-584c-475c-82e2-9f371d88b29e&lt;/id&gt;&lt;locator&gt;46-47&lt;/locator&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Raz, 46–47.</w:t>
      </w:r>
      <w:r>
        <w:fldChar w:fldCharType="end"/>
      </w:r>
    </w:p>
  </w:footnote>
  <w:footnote w:id="8">
    <w:p w14:paraId="1F21DE72" w14:textId="059A273A" w:rsidR="001A019E" w:rsidRDefault="001A019E">
      <w:pPr>
        <w:pStyle w:val="FootnoteText"/>
      </w:pPr>
      <w:r>
        <w:rPr>
          <w:rStyle w:val="FootnoteReference"/>
        </w:rPr>
        <w:footnoteRef/>
      </w:r>
      <w:r>
        <w:t xml:space="preserve"> </w:t>
      </w:r>
      <w:r>
        <w:fldChar w:fldCharType="begin" w:fldLock="1"/>
      </w:r>
      <w:r>
        <w:instrText>ADDIN paperpile_citation &lt;clusterId&gt;Y483L463H854F544&lt;/clusterId&gt;&lt;metadata&gt;&lt;citation&gt;&lt;id&gt;b213c76b-5c92-402a-a578-991c00c65c3b&lt;/id&gt;&lt;locator&gt;39-44&lt;/locator&gt;&lt;/citation&gt;&lt;/metadata&gt;&lt;data&gt;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&lt;/data&gt; \* MERGEFORMAT</w:instrText>
      </w:r>
      <w:r>
        <w:fldChar w:fldCharType="separate"/>
      </w:r>
      <w:r w:rsidR="00460131">
        <w:rPr>
          <w:noProof/>
        </w:rPr>
        <w:t xml:space="preserve">Joseph Raz, </w:t>
      </w:r>
      <w:r w:rsidR="00460131" w:rsidRPr="00460131">
        <w:rPr>
          <w:i/>
          <w:noProof/>
        </w:rPr>
        <w:t>Practical Reason and Norms</w:t>
      </w:r>
      <w:r w:rsidR="00460131">
        <w:rPr>
          <w:noProof/>
        </w:rPr>
        <w:t xml:space="preserve"> (London, England: Oxford University Press, 1999), 39–44.</w:t>
      </w:r>
      <w:r>
        <w:fldChar w:fldCharType="end"/>
      </w:r>
    </w:p>
  </w:footnote>
  <w:footnote w:id="9">
    <w:p w14:paraId="61D61B3D" w14:textId="6BF1C6C5" w:rsidR="00497E54" w:rsidRDefault="00497E54">
      <w:pPr>
        <w:pStyle w:val="FootnoteText"/>
      </w:pPr>
      <w:r>
        <w:rPr>
          <w:rStyle w:val="FootnoteReference"/>
        </w:rPr>
        <w:footnoteRef/>
      </w:r>
      <w:r>
        <w:t xml:space="preserve"> </w:t>
      </w:r>
      <w:r>
        <w:fldChar w:fldCharType="begin" w:fldLock="1"/>
      </w:r>
      <w:r>
        <w:instrText>ADDIN paperpile_citation &lt;clusterId&gt;B532P688E979C793&lt;/clusterId&gt;&lt;metadata&gt;&lt;citation&gt;&lt;id&gt;b8f9a35c-584c-475c-82e2-9f371d88b29e&lt;/id&gt;&lt;locator&gt;369-373&lt;/locator&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 xml:space="preserve">Raz, </w:t>
      </w:r>
      <w:r w:rsidR="00460131" w:rsidRPr="00460131">
        <w:rPr>
          <w:i/>
          <w:noProof/>
        </w:rPr>
        <w:t>The Morality of Freedom</w:t>
      </w:r>
      <w:r w:rsidR="00460131">
        <w:rPr>
          <w:noProof/>
        </w:rPr>
        <w:t>, 369–73.</w:t>
      </w:r>
      <w:r>
        <w:fldChar w:fldCharType="end"/>
      </w:r>
    </w:p>
  </w:footnote>
  <w:footnote w:id="10">
    <w:p w14:paraId="49C78D9E" w14:textId="4362DE0E" w:rsidR="006A6521" w:rsidRDefault="006A6521">
      <w:pPr>
        <w:pStyle w:val="FootnoteText"/>
      </w:pPr>
      <w:r>
        <w:rPr>
          <w:rStyle w:val="FootnoteReference"/>
        </w:rPr>
        <w:footnoteRef/>
      </w:r>
      <w:r>
        <w:t xml:space="preserve"> </w:t>
      </w:r>
      <w:r>
        <w:fldChar w:fldCharType="begin" w:fldLock="1"/>
      </w:r>
      <w:r>
        <w:instrText>ADDIN paperpile_citation &lt;clusterId&gt;V935J983Y473C166&lt;/clusterId&gt;&lt;metadata&gt;&lt;citation&gt;&lt;id&gt;b8f9a35c-584c-475c-82e2-9f371d88b29e&lt;/id&gt;&lt;locator&gt;53-57&lt;/locator&gt;&lt;/citation&gt;&lt;citation&gt;&lt;id&gt;0b5c112f-14c9-42ca-af77-1269af1cc72d&lt;/id&gt;&lt;locator&gt;159-164&lt;/locator&gt;&lt;/citation&gt;&lt;/metadata&gt;&lt;data&gt;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&lt;/data&gt; \* MERGEFORMAT</w:instrText>
      </w:r>
      <w:r>
        <w:fldChar w:fldCharType="separate"/>
      </w:r>
      <w:r w:rsidR="00460131">
        <w:rPr>
          <w:noProof/>
        </w:rPr>
        <w:t xml:space="preserve">Raz, 53–57; Joseph Raz, </w:t>
      </w:r>
      <w:r w:rsidR="00460131" w:rsidRPr="00460131">
        <w:rPr>
          <w:i/>
          <w:noProof/>
        </w:rPr>
        <w:t>The Authority of Law</w:t>
      </w:r>
      <w:r w:rsidR="00460131">
        <w:rPr>
          <w:noProof/>
        </w:rPr>
        <w:t>, 2nd ed. (London, England: Oxford University Press, 2009), 159–64.</w:t>
      </w:r>
      <w:r>
        <w:fldChar w:fldCharType="end"/>
      </w:r>
    </w:p>
  </w:footnote>
  <w:footnote w:id="11">
    <w:p w14:paraId="7EDA32D1" w14:textId="2FCE70BF" w:rsidR="006A6521" w:rsidRDefault="006A6521">
      <w:pPr>
        <w:pStyle w:val="FootnoteText"/>
      </w:pPr>
      <w:r>
        <w:rPr>
          <w:rStyle w:val="FootnoteReference"/>
        </w:rPr>
        <w:footnoteRef/>
      </w:r>
      <w:r>
        <w:t xml:space="preserve"> </w:t>
      </w:r>
      <w:r>
        <w:fldChar w:fldCharType="begin" w:fldLock="1"/>
      </w:r>
      <w:r>
        <w:instrText>ADDIN paperpile_citation &lt;clusterId&gt;U262H328D619B433&lt;/clusterId&gt;&lt;metadata&gt;&lt;citation&gt;&lt;id&gt;b8f9a35c-584c-475c-82e2-9f371d88b29e&lt;/id&gt;&lt;locator&gt;38-41&lt;/locator&gt;&lt;/citation&gt;&lt;citation&gt;&lt;id&gt;0b5c112f-14c9-42ca-af77-1269af1cc72d&lt;/id&gt;&lt;locator&gt;140-148&lt;/locator&gt;&lt;/citation&gt;&lt;/metadata&gt;&lt;data&gt;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&lt;/data&gt; \* MERGEFORMAT</w:instrText>
      </w:r>
      <w:r>
        <w:fldChar w:fldCharType="separate"/>
      </w:r>
      <w:r w:rsidR="00460131">
        <w:rPr>
          <w:noProof/>
        </w:rPr>
        <w:t xml:space="preserve">Raz, </w:t>
      </w:r>
      <w:r w:rsidR="00460131" w:rsidRPr="00460131">
        <w:rPr>
          <w:i/>
          <w:noProof/>
        </w:rPr>
        <w:t>The Morality of Freedom</w:t>
      </w:r>
      <w:r w:rsidR="00460131">
        <w:rPr>
          <w:noProof/>
        </w:rPr>
        <w:t xml:space="preserve">, 38–41; Raz, </w:t>
      </w:r>
      <w:r w:rsidR="00460131" w:rsidRPr="00460131">
        <w:rPr>
          <w:i/>
          <w:noProof/>
        </w:rPr>
        <w:t>The Authority of Law</w:t>
      </w:r>
      <w:r w:rsidR="00460131">
        <w:rPr>
          <w:noProof/>
        </w:rPr>
        <w:t>, 140–48.</w:t>
      </w:r>
      <w:r>
        <w:fldChar w:fldCharType="end"/>
      </w:r>
    </w:p>
  </w:footnote>
  <w:footnote w:id="12">
    <w:p w14:paraId="2E8FFD90" w14:textId="77777777" w:rsidR="001E08A7" w:rsidRPr="001E08A7" w:rsidRDefault="004053A5" w:rsidP="001E08A7">
      <w:pPr>
        <w:pStyle w:val="FootnoteText"/>
      </w:pPr>
      <w:r>
        <w:rPr>
          <w:rStyle w:val="FootnoteReference"/>
        </w:rPr>
        <w:footnoteRef/>
      </w:r>
      <w:r>
        <w:t xml:space="preserve"> </w:t>
      </w:r>
      <w:r w:rsidR="001E08A7" w:rsidRPr="001E08A7">
        <w:t xml:space="preserve">Quebec. </w:t>
      </w:r>
      <w:r w:rsidR="001E08A7" w:rsidRPr="001E08A7">
        <w:rPr>
          <w:i/>
          <w:iCs/>
        </w:rPr>
        <w:t>An Act respecting the laicity of the State</w:t>
      </w:r>
      <w:r w:rsidR="001E08A7" w:rsidRPr="001E08A7">
        <w:t>, SQ 2019, c 12.</w:t>
      </w:r>
    </w:p>
    <w:p w14:paraId="1AB9715B" w14:textId="185CA5A7" w:rsidR="004053A5" w:rsidRDefault="001E08A7">
      <w:pPr>
        <w:pStyle w:val="FootnoteText"/>
      </w:pPr>
      <w:r w:rsidRPr="001E08A7">
        <w:t>https://www.assnat.qc.ca/en/travaux-parlementaires/projets-loi/projet-loi-21-42-1.html</w:t>
      </w:r>
    </w:p>
  </w:footnote>
  <w:footnote w:id="13">
    <w:p w14:paraId="3B998C37" w14:textId="1FC62B91" w:rsidR="004053A5" w:rsidRDefault="004053A5">
      <w:pPr>
        <w:pStyle w:val="FootnoteText"/>
      </w:pPr>
      <w:r>
        <w:rPr>
          <w:rStyle w:val="FootnoteReference"/>
        </w:rPr>
        <w:footnoteRef/>
      </w:r>
      <w:r>
        <w:t xml:space="preserve"> </w:t>
      </w:r>
      <w:r>
        <w:fldChar w:fldCharType="begin" w:fldLock="1"/>
      </w:r>
      <w:r w:rsidR="008A56A9">
        <w:instrText>ADDIN paperpile_citation &lt;clusterId&gt;V972J329Y719C433&lt;/clusterId&gt;&lt;metadata&gt;&lt;citation&gt;&lt;id&gt;b8f9a35c-584c-475c-82e2-9f371d88b29e&lt;/id&gt;&lt;locator&gt;56-57&lt;/locator&gt;&lt;prefix&gt;cf.&lt;/prefix&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 xml:space="preserve">cf. Raz, </w:t>
      </w:r>
      <w:r w:rsidR="00460131" w:rsidRPr="00460131">
        <w:rPr>
          <w:i/>
          <w:noProof/>
        </w:rPr>
        <w:t>The Morality of Freedom</w:t>
      </w:r>
      <w:r w:rsidR="00460131">
        <w:rPr>
          <w:noProof/>
        </w:rPr>
        <w:t>, 56–57.</w:t>
      </w:r>
      <w:r>
        <w:fldChar w:fldCharType="end"/>
      </w:r>
    </w:p>
  </w:footnote>
  <w:footnote w:id="14">
    <w:p w14:paraId="12DD834B" w14:textId="6C869190" w:rsidR="008A56A9" w:rsidRDefault="008A56A9">
      <w:pPr>
        <w:pStyle w:val="FootnoteText"/>
      </w:pPr>
      <w:r>
        <w:rPr>
          <w:rStyle w:val="FootnoteReference"/>
        </w:rPr>
        <w:footnoteRef/>
      </w:r>
      <w:r>
        <w:t xml:space="preserve"> </w:t>
      </w:r>
      <w:r>
        <w:fldChar w:fldCharType="begin" w:fldLock="1"/>
      </w:r>
      <w:r>
        <w:instrText>ADDIN paperpile_citation &lt;clusterId&gt;M995A353W743T437&lt;/clusterId&gt;&lt;metadata&gt;&lt;citation&gt;&lt;id&gt;cea44392-9c1e-4c7d-8d29-ff394757befb&lt;/id&gt;&lt;locator&gt;20-27&lt;/locator&gt;&lt;/citation&gt;&lt;/metadata&gt;&lt;data&gt;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&lt;/data&gt; \* MERGEFORMAT</w:instrText>
      </w:r>
      <w:r>
        <w:fldChar w:fldCharType="separate"/>
      </w:r>
      <w:r w:rsidR="00460131">
        <w:rPr>
          <w:noProof/>
        </w:rPr>
        <w:t xml:space="preserve">Jocelyn Maclure and Charles Taylor, </w:t>
      </w:r>
      <w:r w:rsidR="00460131" w:rsidRPr="00460131">
        <w:rPr>
          <w:i/>
          <w:noProof/>
        </w:rPr>
        <w:t>Secularism and Freedom of Conscience</w:t>
      </w:r>
      <w:r w:rsidR="00460131">
        <w:rPr>
          <w:noProof/>
        </w:rPr>
        <w:t>, trans. Jane Marie Todd (London, England: Harvard University Press, 2011), 20–27.</w:t>
      </w:r>
      <w:r>
        <w:fldChar w:fldCharType="end"/>
      </w:r>
    </w:p>
  </w:footnote>
  <w:footnote w:id="15">
    <w:p w14:paraId="4B5A2868" w14:textId="010D22E1" w:rsidR="008A56A9" w:rsidRDefault="008A56A9">
      <w:pPr>
        <w:pStyle w:val="FootnoteText"/>
      </w:pPr>
      <w:r>
        <w:rPr>
          <w:rStyle w:val="FootnoteReference"/>
        </w:rPr>
        <w:footnoteRef/>
      </w:r>
      <w:r>
        <w:t xml:space="preserve"> </w:t>
      </w:r>
      <w:r w:rsidR="001E08A7" w:rsidRPr="001E08A7">
        <w:rPr>
          <w:i/>
          <w:iCs/>
        </w:rPr>
        <w:t>An Act respecting the laicity of the State</w:t>
      </w:r>
      <w:r w:rsidR="001E08A7" w:rsidRPr="001E08A7">
        <w:t>, SQ 2019, c 12, ss. 6–8.</w:t>
      </w:r>
    </w:p>
  </w:footnote>
  <w:footnote w:id="16">
    <w:p w14:paraId="4E4B1B3A" w14:textId="60E733BD" w:rsidR="008A56A9" w:rsidRDefault="008A56A9">
      <w:pPr>
        <w:pStyle w:val="FootnoteText"/>
      </w:pPr>
      <w:r>
        <w:rPr>
          <w:rStyle w:val="FootnoteReference"/>
        </w:rPr>
        <w:footnoteRef/>
      </w:r>
      <w:r>
        <w:t xml:space="preserve"> </w:t>
      </w:r>
      <w:r w:rsidR="001E08A7" w:rsidRPr="001E08A7">
        <w:rPr>
          <w:i/>
          <w:iCs/>
        </w:rPr>
        <w:t>An Act respecting the laicity of the State</w:t>
      </w:r>
      <w:r w:rsidR="001E08A7" w:rsidRPr="001E08A7">
        <w:t>, SQ 2019</w:t>
      </w:r>
      <w:r w:rsidR="001E08A7">
        <w:t>, c 12</w:t>
      </w:r>
    </w:p>
  </w:footnote>
  <w:footnote w:id="17">
    <w:p w14:paraId="24541552" w14:textId="4363B0BA" w:rsidR="00F17AE4" w:rsidRDefault="00F17AE4">
      <w:pPr>
        <w:pStyle w:val="FootnoteText"/>
      </w:pPr>
      <w:r>
        <w:rPr>
          <w:rStyle w:val="FootnoteReference"/>
        </w:rPr>
        <w:footnoteRef/>
      </w:r>
      <w:r>
        <w:t xml:space="preserve"> </w:t>
      </w:r>
      <w:r>
        <w:fldChar w:fldCharType="begin" w:fldLock="1"/>
      </w:r>
      <w:r w:rsidR="00DA35CC">
        <w:instrText>ADDIN paperpile_citation &lt;clusterId&gt;Y146M294B584F287&lt;/clusterId&gt;&lt;metadata&gt;&lt;citation&gt;&lt;id&gt;894d5678-8b62-4374-ad5b-b0bd36ee1f21&lt;/id&gt;&lt;/citation&gt;&lt;citation&gt;&lt;id&gt;fbf619ba-fe9f-4079-a674-7af2d6a91173&lt;/id&gt;&lt;locator&gt;58-62&lt;/locator&gt;&lt;/citation&gt;&lt;/metadata&gt;&lt;data&gt;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&lt;/data&gt; \* MERGEFORMAT</w:instrText>
      </w:r>
      <w:r>
        <w:fldChar w:fldCharType="separate"/>
      </w:r>
      <w:r w:rsidR="00460131">
        <w:rPr>
          <w:noProof/>
        </w:rPr>
        <w:t xml:space="preserve">Linda Besner, “Quebec’s War on Religion,” </w:t>
      </w:r>
      <w:r w:rsidR="00460131" w:rsidRPr="00460131">
        <w:rPr>
          <w:i/>
          <w:noProof/>
        </w:rPr>
        <w:t>Maclean’s</w:t>
      </w:r>
      <w:r w:rsidR="00460131">
        <w:rPr>
          <w:noProof/>
        </w:rPr>
        <w:t xml:space="preserve">, September 22, 2025; Dan Mamlok, “Bill 21 as an Exemplar of the Fragility of Tolerance,” </w:t>
      </w:r>
      <w:r w:rsidR="00460131" w:rsidRPr="00460131">
        <w:rPr>
          <w:i/>
          <w:noProof/>
        </w:rPr>
        <w:t>Discourse: Studies in the Cultural Politics of Education</w:t>
      </w:r>
      <w:r w:rsidR="00460131">
        <w:rPr>
          <w:noProof/>
        </w:rPr>
        <w:t xml:space="preserve"> 45, no. 1 (January 2, 2024): 58–62.</w:t>
      </w:r>
      <w:r>
        <w:fldChar w:fldCharType="end"/>
      </w:r>
    </w:p>
  </w:footnote>
  <w:footnote w:id="18">
    <w:p w14:paraId="2A314A5A" w14:textId="0C12C81E" w:rsidR="008A56A9" w:rsidRDefault="008A56A9">
      <w:pPr>
        <w:pStyle w:val="FootnoteText"/>
      </w:pPr>
      <w:r>
        <w:rPr>
          <w:rStyle w:val="FootnoteReference"/>
        </w:rPr>
        <w:footnoteRef/>
      </w:r>
      <w:r>
        <w:t xml:space="preserve"> </w:t>
      </w:r>
      <w:r>
        <w:fldChar w:fldCharType="begin" w:fldLock="1"/>
      </w:r>
      <w:r>
        <w:instrText>ADDIN paperpile_citation &lt;clusterId&gt;V318J486Y176C761&lt;/clusterId&gt;&lt;metadata&gt;&lt;citation&gt;&lt;id&gt;b8f9a35c-584c-475c-82e2-9f371d88b29e&lt;/id&gt;&lt;locator&gt;38-41&lt;/locator&gt;&lt;/citation&gt;&lt;citation&gt;&lt;id&gt;0b5c112f-14c9-42ca-af77-1269af1cc72d&lt;/id&gt;&lt;locator&gt;140-148&lt;/locator&gt;&lt;/citation&gt;&lt;/metadata&gt;&lt;data&gt;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&lt;/data&gt; \* MERGEFORMAT</w:instrText>
      </w:r>
      <w:r>
        <w:fldChar w:fldCharType="separate"/>
      </w:r>
      <w:r w:rsidR="00460131">
        <w:rPr>
          <w:noProof/>
        </w:rPr>
        <w:t xml:space="preserve">Raz, </w:t>
      </w:r>
      <w:r w:rsidR="00460131" w:rsidRPr="00460131">
        <w:rPr>
          <w:i/>
          <w:noProof/>
        </w:rPr>
        <w:t>The Morality of Freedom</w:t>
      </w:r>
      <w:r w:rsidR="00460131">
        <w:rPr>
          <w:noProof/>
        </w:rPr>
        <w:t xml:space="preserve">, 38–41; Raz, </w:t>
      </w:r>
      <w:r w:rsidR="00460131" w:rsidRPr="00460131">
        <w:rPr>
          <w:i/>
          <w:noProof/>
        </w:rPr>
        <w:t>The Authority of Law</w:t>
      </w:r>
      <w:r w:rsidR="00460131">
        <w:rPr>
          <w:noProof/>
        </w:rPr>
        <w:t>, 140–48.</w:t>
      </w:r>
      <w:r>
        <w:fldChar w:fldCharType="end"/>
      </w:r>
    </w:p>
  </w:footnote>
  <w:footnote w:id="19">
    <w:p w14:paraId="54C1D424" w14:textId="115AE1F3" w:rsidR="008A56A9" w:rsidRDefault="008A56A9">
      <w:pPr>
        <w:pStyle w:val="FootnoteText"/>
      </w:pPr>
      <w:r>
        <w:rPr>
          <w:rStyle w:val="FootnoteReference"/>
        </w:rPr>
        <w:footnoteRef/>
      </w:r>
      <w:r>
        <w:t xml:space="preserve"> </w:t>
      </w:r>
      <w:r>
        <w:fldChar w:fldCharType="begin" w:fldLock="1"/>
      </w:r>
      <w:r w:rsidR="00A553AC">
        <w:instrText>ADDIN paperpile_citation &lt;clusterId&gt;S565G625C295Z626&lt;/clusterId&gt;&lt;metadata&gt;&lt;citation&gt;&lt;id&gt;b8f9a35c-584c-475c-82e2-9f371d88b29e&lt;/id&gt;&lt;locator&gt;62-63&lt;/locator&gt;&lt;/citation&gt;&lt;/metadata&gt;&lt;data&gt;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&lt;/data&gt; \* MERGEFORMAT</w:instrText>
      </w:r>
      <w:r>
        <w:fldChar w:fldCharType="separate"/>
      </w:r>
      <w:r w:rsidR="00460131">
        <w:rPr>
          <w:noProof/>
        </w:rPr>
        <w:t xml:space="preserve">Raz, </w:t>
      </w:r>
      <w:r w:rsidR="00460131" w:rsidRPr="00460131">
        <w:rPr>
          <w:i/>
          <w:noProof/>
        </w:rPr>
        <w:t>The Morality of Freedom</w:t>
      </w:r>
      <w:r w:rsidR="00460131">
        <w:rPr>
          <w:noProof/>
        </w:rPr>
        <w:t>, 62–63.</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757E8"/>
    <w:multiLevelType w:val="multilevel"/>
    <w:tmpl w:val="2BDE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642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footnote"/>
    <w:docVar w:name="paperpile-doc-id" w:val="S554Z512V992S696"/>
    <w:docVar w:name="paperpile-doc-name" w:val="Raz.docx"/>
    <w:docVar w:name="paperpile-includeDoi" w:val="false"/>
    <w:docVar w:name="paperpile-styleFile" w:val="chicago-fullnote-bibliography.csl"/>
    <w:docVar w:name="paperpile-styleId" w:val="pp-chicago-fullnote-bibliography"/>
    <w:docVar w:name="paperpile-styleLabel" w:val="Chicago Manual of Style 17th edition (full note)"/>
    <w:docVar w:name="paperpile-styleLocale" w:val="en-US"/>
  </w:docVars>
  <w:rsids>
    <w:rsidRoot w:val="00DE1755"/>
    <w:rsid w:val="00020870"/>
    <w:rsid w:val="00030E9A"/>
    <w:rsid w:val="00034CE7"/>
    <w:rsid w:val="000824F6"/>
    <w:rsid w:val="00093747"/>
    <w:rsid w:val="000D7E90"/>
    <w:rsid w:val="00193977"/>
    <w:rsid w:val="001A019E"/>
    <w:rsid w:val="001C1C5C"/>
    <w:rsid w:val="001D2850"/>
    <w:rsid w:val="001E08A7"/>
    <w:rsid w:val="001E5B6C"/>
    <w:rsid w:val="001E7D7F"/>
    <w:rsid w:val="001F4636"/>
    <w:rsid w:val="00250969"/>
    <w:rsid w:val="00255DA0"/>
    <w:rsid w:val="002A0423"/>
    <w:rsid w:val="002B0EE8"/>
    <w:rsid w:val="003032ED"/>
    <w:rsid w:val="003255F1"/>
    <w:rsid w:val="003816A7"/>
    <w:rsid w:val="004053A5"/>
    <w:rsid w:val="004068D0"/>
    <w:rsid w:val="00444205"/>
    <w:rsid w:val="00447A7F"/>
    <w:rsid w:val="00450639"/>
    <w:rsid w:val="00460131"/>
    <w:rsid w:val="00497E54"/>
    <w:rsid w:val="005357DB"/>
    <w:rsid w:val="005374C5"/>
    <w:rsid w:val="005966A0"/>
    <w:rsid w:val="005B0480"/>
    <w:rsid w:val="005D3FCA"/>
    <w:rsid w:val="00621424"/>
    <w:rsid w:val="00665ECA"/>
    <w:rsid w:val="00685821"/>
    <w:rsid w:val="006A6521"/>
    <w:rsid w:val="007234A2"/>
    <w:rsid w:val="00754EF9"/>
    <w:rsid w:val="00773E01"/>
    <w:rsid w:val="0077790F"/>
    <w:rsid w:val="00785170"/>
    <w:rsid w:val="0078665A"/>
    <w:rsid w:val="0079045F"/>
    <w:rsid w:val="007C2E9E"/>
    <w:rsid w:val="00836C25"/>
    <w:rsid w:val="008A56A9"/>
    <w:rsid w:val="008C5612"/>
    <w:rsid w:val="00900222"/>
    <w:rsid w:val="009566DA"/>
    <w:rsid w:val="009D09CF"/>
    <w:rsid w:val="009D3E51"/>
    <w:rsid w:val="00A05B3C"/>
    <w:rsid w:val="00A22E61"/>
    <w:rsid w:val="00A23CF3"/>
    <w:rsid w:val="00A553AC"/>
    <w:rsid w:val="00AA3B2D"/>
    <w:rsid w:val="00B10042"/>
    <w:rsid w:val="00B21B30"/>
    <w:rsid w:val="00C77784"/>
    <w:rsid w:val="00CA0472"/>
    <w:rsid w:val="00CB4AFF"/>
    <w:rsid w:val="00CC4608"/>
    <w:rsid w:val="00D201DC"/>
    <w:rsid w:val="00D46A04"/>
    <w:rsid w:val="00DA35CC"/>
    <w:rsid w:val="00DE1755"/>
    <w:rsid w:val="00E475FC"/>
    <w:rsid w:val="00E5624B"/>
    <w:rsid w:val="00EA1369"/>
    <w:rsid w:val="00EE78EB"/>
    <w:rsid w:val="00EF7D77"/>
    <w:rsid w:val="00F17AE4"/>
    <w:rsid w:val="00F22843"/>
    <w:rsid w:val="00F4572F"/>
    <w:rsid w:val="00F90520"/>
    <w:rsid w:val="00F91F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1BCF"/>
  <w15:chartTrackingRefBased/>
  <w15:docId w15:val="{0B42A309-A658-2A44-B25C-FBF766C79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7790F"/>
    <w:pPr>
      <w:keepNext/>
      <w:keepLines/>
      <w:spacing w:before="360" w:after="80"/>
      <w:jc w:val="center"/>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DE1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381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1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0F"/>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DE1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1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755"/>
    <w:rPr>
      <w:rFonts w:eastAsiaTheme="majorEastAsia" w:cstheme="majorBidi"/>
      <w:color w:val="272727" w:themeColor="text1" w:themeTint="D8"/>
    </w:rPr>
  </w:style>
  <w:style w:type="paragraph" w:styleId="Title">
    <w:name w:val="Title"/>
    <w:basedOn w:val="Normal"/>
    <w:next w:val="Normal"/>
    <w:link w:val="TitleChar"/>
    <w:uiPriority w:val="10"/>
    <w:qFormat/>
    <w:rsid w:val="00DE1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755"/>
    <w:pPr>
      <w:spacing w:before="160"/>
      <w:jc w:val="center"/>
    </w:pPr>
    <w:rPr>
      <w:i/>
      <w:iCs/>
      <w:color w:val="404040" w:themeColor="text1" w:themeTint="BF"/>
    </w:rPr>
  </w:style>
  <w:style w:type="character" w:customStyle="1" w:styleId="QuoteChar">
    <w:name w:val="Quote Char"/>
    <w:basedOn w:val="DefaultParagraphFont"/>
    <w:link w:val="Quote"/>
    <w:uiPriority w:val="29"/>
    <w:rsid w:val="00DE1755"/>
    <w:rPr>
      <w:i/>
      <w:iCs/>
      <w:color w:val="404040" w:themeColor="text1" w:themeTint="BF"/>
    </w:rPr>
  </w:style>
  <w:style w:type="paragraph" w:styleId="ListParagraph">
    <w:name w:val="List Paragraph"/>
    <w:basedOn w:val="Normal"/>
    <w:uiPriority w:val="34"/>
    <w:qFormat/>
    <w:rsid w:val="00DE1755"/>
    <w:pPr>
      <w:ind w:left="720"/>
      <w:contextualSpacing/>
    </w:pPr>
  </w:style>
  <w:style w:type="character" w:styleId="IntenseEmphasis">
    <w:name w:val="Intense Emphasis"/>
    <w:basedOn w:val="DefaultParagraphFont"/>
    <w:uiPriority w:val="21"/>
    <w:qFormat/>
    <w:rsid w:val="00DE1755"/>
    <w:rPr>
      <w:i/>
      <w:iCs/>
      <w:color w:val="0F4761" w:themeColor="accent1" w:themeShade="BF"/>
    </w:rPr>
  </w:style>
  <w:style w:type="paragraph" w:styleId="IntenseQuote">
    <w:name w:val="Intense Quote"/>
    <w:basedOn w:val="Normal"/>
    <w:next w:val="Normal"/>
    <w:link w:val="IntenseQuoteChar"/>
    <w:uiPriority w:val="30"/>
    <w:qFormat/>
    <w:rsid w:val="00DE1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755"/>
    <w:rPr>
      <w:i/>
      <w:iCs/>
      <w:color w:val="0F4761" w:themeColor="accent1" w:themeShade="BF"/>
    </w:rPr>
  </w:style>
  <w:style w:type="character" w:styleId="IntenseReference">
    <w:name w:val="Intense Reference"/>
    <w:basedOn w:val="DefaultParagraphFont"/>
    <w:uiPriority w:val="32"/>
    <w:qFormat/>
    <w:rsid w:val="00DE1755"/>
    <w:rPr>
      <w:b/>
      <w:bCs/>
      <w:smallCaps/>
      <w:color w:val="0F4761" w:themeColor="accent1" w:themeShade="BF"/>
      <w:spacing w:val="5"/>
    </w:rPr>
  </w:style>
  <w:style w:type="paragraph" w:customStyle="1" w:styleId="p1">
    <w:name w:val="p1"/>
    <w:basedOn w:val="Normal"/>
    <w:rsid w:val="00DE17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DE17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E1755"/>
  </w:style>
  <w:style w:type="paragraph" w:customStyle="1" w:styleId="p3">
    <w:name w:val="p3"/>
    <w:basedOn w:val="Normal"/>
    <w:rsid w:val="00DE17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E1755"/>
  </w:style>
  <w:style w:type="character" w:customStyle="1" w:styleId="s3">
    <w:name w:val="s3"/>
    <w:basedOn w:val="DefaultParagraphFont"/>
    <w:rsid w:val="00DE1755"/>
  </w:style>
  <w:style w:type="character" w:customStyle="1" w:styleId="s4">
    <w:name w:val="s4"/>
    <w:basedOn w:val="DefaultParagraphFont"/>
    <w:rsid w:val="00DE1755"/>
  </w:style>
  <w:style w:type="character" w:styleId="Hyperlink">
    <w:name w:val="Hyperlink"/>
    <w:basedOn w:val="DefaultParagraphFont"/>
    <w:uiPriority w:val="99"/>
    <w:unhideWhenUsed/>
    <w:rsid w:val="00DE1755"/>
    <w:rPr>
      <w:color w:val="0000FF"/>
      <w:u w:val="single"/>
    </w:rPr>
  </w:style>
  <w:style w:type="character" w:styleId="FollowedHyperlink">
    <w:name w:val="FollowedHyperlink"/>
    <w:basedOn w:val="DefaultParagraphFont"/>
    <w:uiPriority w:val="99"/>
    <w:semiHidden/>
    <w:unhideWhenUsed/>
    <w:rsid w:val="00DE1755"/>
    <w:rPr>
      <w:color w:val="96607D" w:themeColor="followedHyperlink"/>
      <w:u w:val="single"/>
    </w:rPr>
  </w:style>
  <w:style w:type="character" w:styleId="UnresolvedMention">
    <w:name w:val="Unresolved Mention"/>
    <w:basedOn w:val="DefaultParagraphFont"/>
    <w:uiPriority w:val="99"/>
    <w:semiHidden/>
    <w:unhideWhenUsed/>
    <w:rsid w:val="00DE1755"/>
    <w:rPr>
      <w:color w:val="605E5C"/>
      <w:shd w:val="clear" w:color="auto" w:fill="E1DFDD"/>
    </w:rPr>
  </w:style>
  <w:style w:type="character" w:styleId="PlaceholderText">
    <w:name w:val="Placeholder Text"/>
    <w:basedOn w:val="DefaultParagraphFont"/>
    <w:uiPriority w:val="99"/>
    <w:semiHidden/>
    <w:rsid w:val="00F91F9D"/>
    <w:rPr>
      <w:color w:val="666666"/>
    </w:rPr>
  </w:style>
  <w:style w:type="paragraph" w:customStyle="1" w:styleId="Author">
    <w:name w:val="Author"/>
    <w:basedOn w:val="Heading5"/>
    <w:autoRedefine/>
    <w:qFormat/>
    <w:rsid w:val="003816A7"/>
    <w:pPr>
      <w:jc w:val="center"/>
    </w:pPr>
  </w:style>
  <w:style w:type="paragraph" w:styleId="FootnoteText">
    <w:name w:val="footnote text"/>
    <w:basedOn w:val="Normal"/>
    <w:link w:val="FootnoteTextChar"/>
    <w:uiPriority w:val="99"/>
    <w:unhideWhenUsed/>
    <w:rsid w:val="003816A7"/>
    <w:pPr>
      <w:spacing w:after="0" w:line="240" w:lineRule="auto"/>
    </w:pPr>
    <w:rPr>
      <w:sz w:val="20"/>
      <w:szCs w:val="20"/>
    </w:rPr>
  </w:style>
  <w:style w:type="character" w:customStyle="1" w:styleId="FootnoteTextChar">
    <w:name w:val="Footnote Text Char"/>
    <w:basedOn w:val="DefaultParagraphFont"/>
    <w:link w:val="FootnoteText"/>
    <w:uiPriority w:val="99"/>
    <w:rsid w:val="003816A7"/>
    <w:rPr>
      <w:sz w:val="20"/>
      <w:szCs w:val="20"/>
    </w:rPr>
  </w:style>
  <w:style w:type="character" w:styleId="FootnoteReference">
    <w:name w:val="footnote reference"/>
    <w:basedOn w:val="DefaultParagraphFont"/>
    <w:uiPriority w:val="99"/>
    <w:semiHidden/>
    <w:unhideWhenUsed/>
    <w:rsid w:val="003816A7"/>
    <w:rPr>
      <w:vertAlign w:val="superscript"/>
    </w:rPr>
  </w:style>
  <w:style w:type="paragraph" w:styleId="Footer">
    <w:name w:val="footer"/>
    <w:basedOn w:val="Normal"/>
    <w:link w:val="FooterChar"/>
    <w:uiPriority w:val="99"/>
    <w:unhideWhenUsed/>
    <w:rsid w:val="00406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D0"/>
  </w:style>
  <w:style w:type="character" w:styleId="PageNumber">
    <w:name w:val="page number"/>
    <w:basedOn w:val="DefaultParagraphFont"/>
    <w:uiPriority w:val="99"/>
    <w:semiHidden/>
    <w:unhideWhenUsed/>
    <w:rsid w:val="00406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C49867-47EA-CC44-A80C-31524825317F}">
  <we:reference id="wa200001361" version="2.129.3.0" store="en-US" storeType="OMEX"/>
  <we:alternateReferences>
    <we:reference id="wa200001361" version="2.129.3.0" store="en-US" storeType="OMEX"/>
  </we:alternateReferences>
  <we:properties>
    <we:property name="paperpal-document-id" value="&quot;02e44923-9bfc-43e2-ac06-51ea28ad9d7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15</Pages>
  <Words>5815</Words>
  <Characters>34778</Characters>
  <Application>Microsoft Office Word</Application>
  <DocSecurity>0</DocSecurity>
  <Lines>519</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Dharamsi</dc:creator>
  <cp:keywords/>
  <dc:description/>
  <cp:lastModifiedBy>Karim Dharamsi</cp:lastModifiedBy>
  <cp:revision>2</cp:revision>
  <cp:lastPrinted>2026-01-11T04:25:00Z</cp:lastPrinted>
  <dcterms:created xsi:type="dcterms:W3CDTF">2026-01-13T20:01:00Z</dcterms:created>
  <dcterms:modified xsi:type="dcterms:W3CDTF">2026-01-13T20:01:00Z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pal_Item">
    <vt:lpwstr>{"citationStyle":"chicago-author-date","citationStyleName":"Chicago author-date 17th edition"}</vt:lpwstr>
  </property>
</Properties>
</file>