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2">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Justifying the State</w:t>
      </w:r>
    </w:p>
    <w:p w:rsidR="00000000" w:rsidDel="00000000" w:rsidP="00000000" w:rsidRDefault="00000000" w:rsidRPr="00000000" w14:paraId="00000003">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 Callahan and Leye Komolafe (eds)</w:t>
      </w:r>
    </w:p>
    <w:p w:rsidR="00000000" w:rsidDel="00000000" w:rsidP="00000000" w:rsidRDefault="00000000" w:rsidRPr="00000000" w14:paraId="0000000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 of whether the state can be justified remains a persistent and contested problem in political philosophy. That the state exercises political power is not in dispute; what raises concern is whether, and under what conditions, that power amounts to legitimate authority. In some cases, appeals have been made to the functions performed by the state, which include the provision of security, resolution of coordination problems, the protection of rights, dissemination of justice, and the identification and furtherance of the common good. These tasks have been used to explain why political institutions are valuable or even necessary. Nonetheless, they do not, in isolation, and without further argument, establish a right to rule. The question of state justification is therefore beyond what the state does. It concerns what, if anything, morally warrants the authority it claims.</w:t>
      </w:r>
    </w:p>
    <w:p w:rsidR="00000000" w:rsidDel="00000000" w:rsidP="00000000" w:rsidRDefault="00000000" w:rsidRPr="00000000" w14:paraId="0000000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supplying such a justification, several theories have been developed. Contractarians and consent-based theorists, for instance, seek, in different ways, to reconcile political authority with the freedom of those subject to it. Some accounts try to avoid a voluntarist underpinning. On this, the common good, rightful relations of freedom, and the distinctive character of political association itself is appealed to. Other accounts such as deliberative and public-reason approaches locate legitimacy in forms of justification that must be addressed to citizens as free and equal persons. These strategies have also been put under pressure by philosophical anarchists who question whether the conditions required for legitimate authority can be met at all. The concern takes two prominent routes: first, on what grounds might the state be defended; and second, what would a successful defense of the state establish?</w:t>
      </w:r>
    </w:p>
    <w:p w:rsidR="00000000" w:rsidDel="00000000" w:rsidP="00000000" w:rsidRDefault="00000000" w:rsidRPr="00000000" w14:paraId="0000000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foregoing distinction, and the second question from philosophical anarchists is particularly important for a couple of reasons. If sufficient grounds can be provided for defending the state, what follows from such a justification is a separate matter. Thus, a critical engagement of what a successful justification of the state can reasonably be taken to establish is crucial. R. P. Wolff and A. John Simmons’s criticisms are useful here. Wolff treats individual autonomy and political authority as fundamentally incompatible, leading to his </w:t>
      </w:r>
      <w:r w:rsidDel="00000000" w:rsidR="00000000" w:rsidRPr="00000000">
        <w:rPr>
          <w:rFonts w:ascii="Times New Roman" w:cs="Times New Roman" w:eastAsia="Times New Roman" w:hAnsi="Times New Roman"/>
          <w:i w:val="1"/>
          <w:iCs w:val="1"/>
          <w:sz w:val="24"/>
          <w:szCs w:val="24"/>
          <w:rtl w:val="0"/>
        </w:rPr>
        <w:t xml:space="preserve">a priori </w:t>
      </w:r>
      <w:r w:rsidDel="00000000" w:rsidR="00000000" w:rsidRPr="00000000">
        <w:rPr>
          <w:rFonts w:ascii="Times New Roman" w:cs="Times New Roman" w:eastAsia="Times New Roman" w:hAnsi="Times New Roman"/>
          <w:sz w:val="24"/>
          <w:szCs w:val="24"/>
          <w:rtl w:val="0"/>
        </w:rPr>
        <w:t xml:space="preserve">philosophical anarchism.  A. John Simmons's philosophical anarchism, by contrast, does not regard legitimate political authority as conceptually impossible. He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acknowledges the possibility that legitimate political authority could exist while arguing that existing states have generally failed to acquire the rights necessary to exercise it. Both positions offer a critique of the state at different normative levels. </w:t>
      </w:r>
    </w:p>
    <w:p w:rsidR="00000000" w:rsidDel="00000000" w:rsidP="00000000" w:rsidRDefault="00000000" w:rsidRPr="00000000" w14:paraId="0000000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must be noted that although the justification of the state, its legitimacy, political authority, and political obligation are closely related, they are not interchangeable. One may agree that a state is preferable to feasible alternatives without conceding that it possesses a moral right to rule particular persons. In the same vein, the justification of a particular law does not, by itself, establish a general obligation to obey the state. Nor does the existence of reasons to comply with a law show that those reasons arise from the state's authority. The justification of an institution also does not automatically transfer to the actions it performs. </w:t>
      </w:r>
    </w:p>
    <w:p w:rsidR="00000000" w:rsidDel="00000000" w:rsidP="00000000" w:rsidRDefault="00000000" w:rsidRPr="00000000" w14:paraId="0000000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Moreso, as demonstrated in some of the chapters, it is not obvious that one consideration must account for the state's authority over every person and in every domain. Consent may explain the obligations of those who consent without explaining the position of those who do not. Fairness and reciprocity may generate obligations under some conditions without settling the general question of state authority. Prudential considerations may make compliance rational without making it morally obligatory. A pluralistic account may also recognize several such grounds without providing a common basis for the state's general claim to rule. A theory of state justification must therefore confront not only the grounds of political authority but also their scope: whom they bind, under what conditions, and what kind of authority they affirm.</w:t>
      </w:r>
    </w:p>
    <w:p w:rsidR="00000000" w:rsidDel="00000000" w:rsidP="00000000" w:rsidRDefault="00000000" w:rsidRPr="00000000" w14:paraId="0000000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contributions to this volume approach these problems from different philosophical traditions and do not share a single conception of the state or a single view of what an adequate justification amounts to. While some reconsider the nature of political association itself, others examine constitutional bargaining, hypothetical agreement, plural political obligation, democratic deliberation, the conditions of legitimate authority, rightful coercion, and the common good. Others distinguish the justification of institutions from their legitimacy or question whether the existence of government is itself a useful object of justification. Hence, what brings these contributions together is a shared concern with the justificatory problem of the state, although they differ considerably over how that problem should be formulated and what would count as answering it.</w:t>
      </w:r>
    </w:p>
    <w:p w:rsidR="00000000" w:rsidDel="00000000" w:rsidP="00000000" w:rsidRDefault="00000000" w:rsidRPr="00000000" w14:paraId="0000000A">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Contributions to the Debate</w:t>
      </w:r>
    </w:p>
    <w:p w:rsidR="00000000" w:rsidDel="00000000" w:rsidP="00000000" w:rsidRDefault="00000000" w:rsidRPr="00000000" w14:paraId="0000000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first of our essays</w:t>
      </w:r>
      <w:r w:rsidDel="00000000" w:rsidR="00000000" w:rsidRPr="00000000">
        <w:rPr>
          <w:rFonts w:ascii="Times New Roman" w:cs="Times New Roman" w:eastAsia="Times New Roman" w:hAnsi="Times New Roman"/>
          <w:sz w:val="24"/>
          <w:szCs w:val="24"/>
          <w:rtl w:val="0"/>
        </w:rPr>
        <w:t xml:space="preserve">, Gene Callahan examines Bernard Bosanquet's philosophical theory of the State and its implications for anarchist alternatives. Callahan’s exposition shows that Bosanquet does not identify the State simply with the government of a nation, nor does he distinguish it from other associations principally through a monopoly of force. Rather, the State is a system of institutions that provides what Bosanquet calls “pervading adjustments” within the complex hierarchy of groups constituting social life. What marks the state as a distinct entity is its position as the final arbiter of social conflicts and its capacity to secure sufficient adjustment among competing claims for society to continue as a working whole. This implies that sovereignty therefore does not necessarily belong to a determinate person or governing body, but rather to the functioning of the institutional system as a whole. </w:t>
      </w:r>
    </w:p>
    <w:p w:rsidR="00000000" w:rsidDel="00000000" w:rsidP="00000000" w:rsidRDefault="00000000" w:rsidRPr="00000000" w14:paraId="0000000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Callahan then asks what follows from Bosanquet's conception for anarcho-syndicalist and anarcho-capitalist proposals. If both arrangements are to sustain a functioning social order, they must provide some means of coordinating different groups and finally resolving conflicts among them. Anarcho-syndicalism assigns important coordinating functions to federations of syndicates, while anarcho-capitalism relies upon networks of protection or defense agencies. The challenge is that, for Bosanquet, an institutional order capable of making these final adjustments among competing groups is precisely what constitutes the State. Callahan's point is not that anarchist proposals necessarily reproduce the modern nation-state. His claim is that if their institutions successfully perform the coordinating and adjudicative functions required to hold society together, they may have abolished the state in the narrower governmental sense without abolishing the State in Bosanquet's philosophical sense. However, if they do not provide institutions capable of performing these functions, they will confront a different problem, which concerns how conflicts among social groups are finally to be resolved. </w:t>
      </w:r>
    </w:p>
    <w:p w:rsidR="00000000" w:rsidDel="00000000" w:rsidP="00000000" w:rsidRDefault="00000000" w:rsidRPr="00000000" w14:paraId="0000000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his essay, Spartaco Pupo engages Giovanni Gentile's actualist conception of the State. In this account, Gentile rejects the idea that the State should be understood primarily as an external apparatus standing over an already constituted individual. The State is </w:t>
      </w:r>
      <w:r w:rsidDel="00000000" w:rsidR="00000000" w:rsidRPr="00000000">
        <w:rPr>
          <w:rFonts w:ascii="Times New Roman" w:cs="Times New Roman" w:eastAsia="Times New Roman" w:hAnsi="Times New Roman"/>
          <w:i w:val="1"/>
          <w:iCs w:val="1"/>
          <w:sz w:val="24"/>
          <w:szCs w:val="24"/>
          <w:rtl w:val="0"/>
        </w:rPr>
        <w:t xml:space="preserve">in interiore homine</w:t>
      </w:r>
      <w:r w:rsidDel="00000000" w:rsidR="00000000" w:rsidRPr="00000000">
        <w:rPr>
          <w:rFonts w:ascii="Times New Roman" w:cs="Times New Roman" w:eastAsia="Times New Roman" w:hAnsi="Times New Roman"/>
          <w:sz w:val="24"/>
          <w:szCs w:val="24"/>
          <w:rtl w:val="0"/>
        </w:rPr>
        <w:t xml:space="preserve">: internal to self-consciousness and realized through practical agency. The state is thus conceived as both a concept and a value. The State is not an institution that simply exists; it is actualized. The implication is that the individual and State develop together, and the nation itself becomes politically concrete through its actualization as a State. </w:t>
      </w:r>
    </w:p>
    <w:p w:rsidR="00000000" w:rsidDel="00000000" w:rsidP="00000000" w:rsidRDefault="00000000" w:rsidRPr="00000000" w14:paraId="0000000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Gentile denies that the State is an external power imposing its will upon independently constituted individuals because if this were the case, then obedience would remain an external constraint upon freedom. It is, consequently, obvious why Gentile would reject the opposition between individual freedom and state authority. Instead, he identifies the State with the universal dimension of the individual's own ethical willing. Positive law acquires its fullest moral significance when it is no longer experienced merely as an external command but is recognized within practical self-consciousness as an ethical requirement. This is why the State, in Gentile's account, is not the negation of freedom but its concrete actualization: the individual is free not by escaping the State, but by recognizing the universal ethical will as his or her own.</w:t>
      </w:r>
    </w:p>
    <w:p w:rsidR="00000000" w:rsidDel="00000000" w:rsidP="00000000" w:rsidRDefault="00000000" w:rsidRPr="00000000" w14:paraId="0000000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Pupo traces this argument through Gentile's criticism of classical liberal individualism and Marxist materialism and through his attempt to give institutional expression to the ethical unity of individual and State in corporatism. Gentile's political commitments and his relationship to Fascism necessarily form part of the reception of the theory, but Pupo avoids reducing Gentile’s actualism to the institutional practices of the Fascist regime, which he supported. Gentile had developed the philosophical foundations of the ethical State before Fascism, even though he later sought political expression for them within the corporative State. The philosophical position Pupo reconstructs is therefore more specific: when the State remains merely an external machine, it remains force; its ethical claim arises insofar as it is recognized and willed within civic agency as a form of freedom. </w:t>
      </w:r>
    </w:p>
    <w:p w:rsidR="00000000" w:rsidDel="00000000" w:rsidP="00000000" w:rsidRDefault="00000000" w:rsidRPr="00000000" w14:paraId="0000001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Georgios Karakasis discusses Carl Schmitt's conception of sovereignty and the State through </w:t>
      </w:r>
      <w:r w:rsidDel="00000000" w:rsidR="00000000" w:rsidRPr="00000000">
        <w:rPr>
          <w:rFonts w:ascii="Times New Roman" w:cs="Times New Roman" w:eastAsia="Times New Roman" w:hAnsi="Times New Roman"/>
          <w:i w:val="1"/>
          <w:iCs w:val="1"/>
          <w:sz w:val="24"/>
          <w:szCs w:val="24"/>
          <w:rtl w:val="0"/>
        </w:rPr>
        <w:t xml:space="preserve">Prometheus Bound</w:t>
      </w:r>
      <w:r w:rsidDel="00000000" w:rsidR="00000000" w:rsidRPr="00000000">
        <w:rPr>
          <w:rFonts w:ascii="Times New Roman" w:cs="Times New Roman" w:eastAsia="Times New Roman" w:hAnsi="Times New Roman"/>
          <w:sz w:val="24"/>
          <w:szCs w:val="24"/>
          <w:rtl w:val="0"/>
        </w:rPr>
        <w:t xml:space="preserve">. In Schmitt's account, political authority is not derived from consent or an independently specified moral order. The political is rather constituted through the friend-enemy distinction, while sovereignty is revealed in the capacity to decide upon the exception. The sovereign is not merely the highest ordinary office within a legal order. Exceptional situations would reveal who possesses the authority to decide when ordinary law cannot delimit the scope of political action, since the existing political order is itself under threat. </w:t>
      </w:r>
    </w:p>
    <w:p w:rsidR="00000000" w:rsidDel="00000000" w:rsidP="00000000" w:rsidRDefault="00000000" w:rsidRPr="00000000" w14:paraId="0000001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Karakasis's Schmittian account presents is a different sense of justification from theories that rely on independent moral authorization of political power. Within the Schmittian framework, sovereign authority is bound to the political function of decision. For instance, when ordinary norms cannot resolve the exception, some authority must determine the existence and character of the threat and decide what must be done to preserve political order. </w:t>
      </w:r>
    </w:p>
    <w:p w:rsidR="00000000" w:rsidDel="00000000" w:rsidP="00000000" w:rsidRDefault="00000000" w:rsidRPr="00000000" w14:paraId="0000001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Karakasis illuminates this structure using an analogy from </w:t>
      </w:r>
      <w:r w:rsidDel="00000000" w:rsidR="00000000" w:rsidRPr="00000000">
        <w:rPr>
          <w:rFonts w:ascii="Times New Roman" w:cs="Times New Roman" w:eastAsia="Times New Roman" w:hAnsi="Times New Roman"/>
          <w:i w:val="1"/>
          <w:iCs w:val="1"/>
          <w:sz w:val="24"/>
          <w:szCs w:val="24"/>
          <w:rtl w:val="0"/>
        </w:rPr>
        <w:t xml:space="preserve">Prometheus Bound.</w:t>
      </w:r>
      <w:r w:rsidDel="00000000" w:rsidR="00000000" w:rsidRPr="00000000">
        <w:rPr>
          <w:rFonts w:ascii="Times New Roman" w:cs="Times New Roman" w:eastAsia="Times New Roman" w:hAnsi="Times New Roman"/>
          <w:sz w:val="24"/>
          <w:szCs w:val="24"/>
          <w:rtl w:val="0"/>
        </w:rPr>
        <w:t xml:space="preserve"> The analogy draws our attention to an authority that asserts and preserves the order within which obedience and transgression are themselves defined. An important part of Karakasis’s contribution is that it shows how, within Schmitt’s account, sovereign decision cannot straightforwardly be subordinated to the antecedent legal and moral standards. </w:t>
      </w:r>
    </w:p>
    <w:p w:rsidR="00000000" w:rsidDel="00000000" w:rsidP="00000000" w:rsidRDefault="00000000" w:rsidRPr="00000000" w14:paraId="0000001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Taylor J. Green examines Martin Heidegger's account of state authority in the 1933–34 lectures on Nature, History, and State. Heidegger rejects the contractual foundations characteristic of early modern political philosophy and locates the State in the historical disclosure of Being. Heidegger asserts that history is not merely a record of past events but a mode through which Being unfolds, and the people, </w:t>
      </w:r>
      <w:r w:rsidDel="00000000" w:rsidR="00000000" w:rsidRPr="00000000">
        <w:rPr>
          <w:rFonts w:ascii="Times New Roman" w:cs="Times New Roman" w:eastAsia="Times New Roman" w:hAnsi="Times New Roman"/>
          <w:i w:val="1"/>
          <w:iCs w:val="1"/>
          <w:sz w:val="24"/>
          <w:szCs w:val="24"/>
          <w:rtl w:val="0"/>
        </w:rPr>
        <w:t xml:space="preserve">das Volk</w:t>
      </w:r>
      <w:r w:rsidDel="00000000" w:rsidR="00000000" w:rsidRPr="00000000">
        <w:rPr>
          <w:rFonts w:ascii="Times New Roman" w:cs="Times New Roman" w:eastAsia="Times New Roman" w:hAnsi="Times New Roman"/>
          <w:sz w:val="24"/>
          <w:szCs w:val="24"/>
          <w:rtl w:val="0"/>
        </w:rPr>
        <w:t xml:space="preserve">, occupies a particular place within that historical disclosure. The inference is that the State becomes a “mode of Being of a people,” and its legitimacy is tied to its correspondence with the historical and spiritual essence of that people. </w:t>
      </w:r>
    </w:p>
    <w:p w:rsidR="00000000" w:rsidDel="00000000" w:rsidP="00000000" w:rsidRDefault="00000000" w:rsidRPr="00000000" w14:paraId="0000001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offers both a critical and reconstructive approach. He demonstrated that Heidegger's effort to move beyond contract, popular sovereignty, constitutionalism, and conventional standards of political judgment leaves him without a determinate criterion for deciding whether one political arrangement is actually better or more legitimate than another. Green sees this as a serious problem when the argument is considered alongside Heidegger's political commitments in the period in which the lectures were delivered. In Green’s analysis, Heidegger’s concepts of historical destiny, </w:t>
      </w:r>
      <w:r w:rsidDel="00000000" w:rsidR="00000000" w:rsidRPr="00000000">
        <w:rPr>
          <w:rFonts w:ascii="Times New Roman" w:cs="Times New Roman" w:eastAsia="Times New Roman" w:hAnsi="Times New Roman"/>
          <w:i w:val="1"/>
          <w:iCs w:val="1"/>
          <w:sz w:val="24"/>
          <w:szCs w:val="24"/>
          <w:rtl w:val="0"/>
        </w:rPr>
        <w:t xml:space="preserve">das Volk</w:t>
      </w:r>
      <w:r w:rsidDel="00000000" w:rsidR="00000000" w:rsidRPr="00000000">
        <w:rPr>
          <w:rFonts w:ascii="Times New Roman" w:cs="Times New Roman" w:eastAsia="Times New Roman" w:hAnsi="Times New Roman"/>
          <w:sz w:val="24"/>
          <w:szCs w:val="24"/>
          <w:rtl w:val="0"/>
        </w:rPr>
        <w:t xml:space="preserve">, leadership, struggle, and Being are not purely abstract metaphysical propositions. They form part of a political discourse that accompanied the dismantling of liberal-democratic institutions in Germany. Green ultimately argues that Heidegger's alternative to modern political justification is untenable because in displacing inherited standards of political judgment, it makes authoritarian politics appear as the realization of a deeper historical and spiritual necessity. </w:t>
      </w:r>
    </w:p>
    <w:p w:rsidR="00000000" w:rsidDel="00000000" w:rsidP="00000000" w:rsidRDefault="00000000" w:rsidRPr="00000000" w14:paraId="00000015">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John Coats engages Michael Oakeshott's account of authority, civil association, and the modern state. Oakeshott makes a distinction between civil association and enterprise association. An enterprise association organizes its members around substantive purposes, whereas civil association consists in relations governed by general rules within which individuals pursue purposes of their own. In relation to the modern state, this distinction is pertinent because membership is ordinarily non-voluntary. In Coats' analysis, if we attempt to understand the state essentially as an enterprise, we risk making individuals participants in substantive collective projects they did not choose. Furthermore, a political association can be distorted when its authority is understood and assessed through its capacity to deliver substantive outcomes. For Oakeshott, authority must instead be understood within the general terms of civil association.</w:t>
      </w:r>
    </w:p>
    <w:p w:rsidR="00000000" w:rsidDel="00000000" w:rsidP="00000000" w:rsidRDefault="00000000" w:rsidRPr="00000000" w14:paraId="00000016">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Coats makes an additional distinction between authority and power. The capacity of government to compel behavior demonstrates that it possesses power, but it does not explain why its directives should be recognized as authoritative. If the authority of government is defended by appealing to its successful realization of desirable social outcomes, the state increasingly resembles an enterprise association organized around substantive purposes. Coats extends this concern to contemporary political life, where the state is increasingly understood in managerial terms and judged by its effectiveness in achieving specified policy outcomes. His chapter thus raises a question about whether some apparently attractive ways of justifying government by what it achieves may themselves transform the character of the political association being justified.</w:t>
      </w:r>
    </w:p>
    <w:p w:rsidR="00000000" w:rsidDel="00000000" w:rsidP="00000000" w:rsidRDefault="00000000" w:rsidRPr="00000000" w14:paraId="00000017">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set of contributions in this book approach state justification from other grounds. These include constitutional bargaining, hypothetical agreement, political obligation, and democratic participation. They deploy different conceptions of the relationship between individuals, political institutions, and the state.</w:t>
      </w:r>
    </w:p>
    <w:p w:rsidR="00000000" w:rsidDel="00000000" w:rsidP="00000000" w:rsidRDefault="00000000" w:rsidRPr="00000000" w14:paraId="00000018">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his essay, Alexander W. Craig critically examines James M. Buchanan's constitutional contractarianism. Buchanan starts from methodological individualism and proceeds to an explicitly subjectivist approach to political valuation. For Buchanan, political theory cannot simply invoke an objective conception of social value and use it to override individuals' own evaluations of political arrangements. This explains why he attaches importance to unanimity. </w:t>
      </w:r>
    </w:p>
    <w:p w:rsidR="00000000" w:rsidDel="00000000" w:rsidP="00000000" w:rsidRDefault="00000000" w:rsidRPr="00000000" w14:paraId="0000001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that individuals are the judges of whether a political arrangement improves their position, agreement among them provides the basis for regarding a proposed change as mutually advantageous. Buchanan emphasizes unanimity because it indicates that no participant regards the proposed arrangement as making them worse off. However, unanimity is difficult to achieve in ordinary political decision-making. Buchanan therefore gives it its most important role at the constitutional level, where individuals agree on the rules within which subsequent political decisions and bargaining will take place.</w:t>
      </w:r>
    </w:p>
    <w:p w:rsidR="00000000" w:rsidDel="00000000" w:rsidP="00000000" w:rsidRDefault="00000000" w:rsidRPr="00000000" w14:paraId="0000001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Craig's criticism of Buchanan’s account focuses on the distribution from which constitutional bargaining begins. Buchanan's model takes the distribution of rights and capacities inherited from the pre-constitutional condition as the starting point for agreement rather than first subjecting that distribution to an independent standard of justice. In, for instance, a situation where holdings reflect unequal power, force, or historical injustice, agreement may preserve a morally problematic status quo rather than vindicate it. This could also create a problem for, say, later generations, who inherit the constitutional settlement without having participated in its original formation.</w:t>
      </w:r>
    </w:p>
    <w:p w:rsidR="00000000" w:rsidDel="00000000" w:rsidP="00000000" w:rsidRDefault="00000000" w:rsidRPr="00000000" w14:paraId="0000001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worthy to note that Craig does not dismiss Buchanan's project. He acknowledges the significance of Buchanan's shift from disputes about preferred substantive outcomes toward the rules and procedures through which political decisions are made. His criticism is whether the this move allows us to determine where the constitutional starting point itself should be. The problem is internal to Buchanan's contractarianism. Suppose agreement provides the standard of improvement, what permits criticism of the conditions under which agreement takes place?</w:t>
      </w:r>
    </w:p>
    <w:p w:rsidR="00000000" w:rsidDel="00000000" w:rsidP="00000000" w:rsidRDefault="00000000" w:rsidRPr="00000000" w14:paraId="0000001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possible answer to the above question is John Rawls's construct of the original position, addressed by Jason Ferrell. Rawls uses the idea to model fair agreement on principles governing society's basic structure by placing the parties behind a veil of ignorance to prevent them from devising principles favorable to their own contingent social circumstances. Rawls thus intends the original position not to be conceived as an historical reality, but as a hypothetical device for representing the conditions under which fair principles of justice would be chosen. </w:t>
      </w:r>
    </w:p>
    <w:p w:rsidR="00000000" w:rsidDel="00000000" w:rsidP="00000000" w:rsidRDefault="00000000" w:rsidRPr="00000000" w14:paraId="0000001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Ferrell offers two major criticisms of Rawls. The first relates to the conception of persons built into the original position. Ferrell is concerned about whether the abstractions required by the original position removes features of identity, social position, capability, or social embeddedness that may themselves be morally relevant to questions of justice. Ferrell explores this concern through the sorts of criticisms one finds in Iris Marion Young, Amartya Sen, and Michael Sandel. </w:t>
      </w:r>
    </w:p>
    <w:p w:rsidR="00000000" w:rsidDel="00000000" w:rsidP="00000000" w:rsidRDefault="00000000" w:rsidRPr="00000000" w14:paraId="0000001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criticism concerns the original position as a justificatory tool. The argument goes thus: even if Rawls's principles are attractive, more questions remain about what additional normative force they acquire from being selected in a hypothetical choice situation. And as Ronald Dworkin notes, an agreement that was never actually made does not obviously generate the obligations normally associated with a real agreement. Ferrell's conclusion is not that Rawls's substantive commitments to liberty and distributive justice should be rejected, but that those commitments do not depend upon the original position. In other words, Rawls’s substantive arguments may be capable of standing on their own without the hypothetical device intended to justify them. </w:t>
      </w:r>
    </w:p>
    <w:p w:rsidR="00000000" w:rsidDel="00000000" w:rsidP="00000000" w:rsidRDefault="00000000" w:rsidRPr="00000000" w14:paraId="0000001F">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Leye Komolafe examines Jonathan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Wolff's pluralistic theory of political obligation. Wolff's starting point is a critique of monism and its assumptions of singularity, universality, and uniformity. The expectation is that political obligation must rest upon a common ground capable of explaining the obligations of all those subject to the state. Against this expectation, Wolff argues that different moral considerations may generate political obligations in different circumstances. He consequently develops a pluralist framework around rationality, reciprocity, and reasonableness, allowing different considerations to explain political compliance or obligation in different circumstances and acknowledging that some individuals may have no political obligation at all.</w:t>
      </w:r>
    </w:p>
    <w:p w:rsidR="00000000" w:rsidDel="00000000" w:rsidP="00000000" w:rsidRDefault="00000000" w:rsidRPr="00000000" w14:paraId="00000020">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Wolff's pluralism also takes the anarchist challenge seriously without granting philosophical anarchism any advantage. The defender of political obligation must justify the claim that such obligations exist, but the anarchist must likewise justify their absence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Komolafe accepts the importance of Wolff's refusal to presume either political obligation or philosophical anarchism, as well as the seriousness with which Wolff attempts to accommodate individual autonomy.</w:t>
      </w:r>
    </w:p>
    <w:p w:rsidR="00000000" w:rsidDel="00000000" w:rsidP="00000000" w:rsidRDefault="00000000" w:rsidRPr="00000000" w14:paraId="00000021">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Komolafe's criticism emanates from the tension between the structure of Wolff's pluralism and the structure of the state's claim to authority. Wolff allows the grounds of political obligation to vary from person to person and circumstance to circumstance. One person may have reasons grounded in reciprocity, another in reasonableness, another only prudential reasons for compliance, while another may have no political obligation at all. The state, however, does not ordinarily claim authority only over those individuals for whom one of these grounds happens to obtain. It claims authority generally over those within its jurisdiction.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Komolafe therefore asks what could explain the movement from a plurality of individually variable obligations to an institutional claim that is general and enforceable.</w:t>
      </w:r>
    </w:p>
    <w:p w:rsidR="00000000" w:rsidDel="00000000" w:rsidP="00000000" w:rsidRDefault="00000000" w:rsidRPr="00000000" w14:paraId="00000022">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Komolafe insists that the issue is not that Wolff fails to provide a unified theory. Indeed, he accepts that pluralism may offer a more plausible explanation of the different moral grounds on which political obligations arise. His concern is whether such explanatory pluralism can also bear the additional justificatory burden associated with the state's general authority. </w:t>
      </w:r>
    </w:p>
    <w:p w:rsidR="00000000" w:rsidDel="00000000" w:rsidP="00000000" w:rsidRDefault="00000000" w:rsidRPr="00000000" w14:paraId="0000002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Oris Kondwani Chimphambano draws on Jürgen Habermas's theory of communicative action and discourse ethics to propose a different conception of state justification. The state, on this account, is not justified once and for all by an original contract, a constitutional founding, an appeal to utility, or the mere effectiveness of sovereign power. The justification of the state is to be understood as an ongoing process rooted in communicative practices through which citizens participate in reasoning about the laws and norms governing their common political life.</w:t>
      </w:r>
    </w:p>
    <w:p w:rsidR="00000000" w:rsidDel="00000000" w:rsidP="00000000" w:rsidRDefault="00000000" w:rsidRPr="00000000" w14:paraId="00000024">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Chimphambano's analysis challenges the idea that a state can acquire legitimacy through an initial act of authorization and thereafter exercise authority independently of a continuing justificatory relationship with its citizens. On this account, political decisions are legitimate to the extent that the institutions producing them preserve meaningful conditions under which those affected can participate in public reasoning. The state is therefore justified insofar as it institutionalizes conditions for rational, inclusive, and non-coercive deliberation. The public sphere provides the communicative space within which political claims can be challenged, public opinion formed, and political authority subjected to continuing scrutiny.</w:t>
      </w:r>
    </w:p>
    <w:p w:rsidR="00000000" w:rsidDel="00000000" w:rsidP="00000000" w:rsidRDefault="00000000" w:rsidRPr="00000000" w14:paraId="00000025">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Drawing on criticisms from Nancy Fraser and Iris Marion Young, Chimphambano considers how structural inequality, exclusion, and privileged modes of political expression can distort apparently open processes of public reasoning. He thus acknowledges that formal opportunities for deliberation do not necessarily guarantee genuine equality. These criticisms do not lead Chimphambano to abandon communicative justification. They only expose conditions that political institutions must address if deliberation is to be genuinely inclusive. State justification, on this account, remains an achievement that must continually be renewed rather than a status permanently secured.</w:t>
      </w:r>
    </w:p>
    <w:p w:rsidR="00000000" w:rsidDel="00000000" w:rsidP="00000000" w:rsidRDefault="00000000" w:rsidRPr="00000000" w14:paraId="0000002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his essay, Karim Dharamsi examines Joseph Raz's service conception of authority. Raz begins from the practical reasons that already apply to subjects rather than from consent or institutional authorization. The dependence thesis requires an authority to base its directives on reasons that already apply to those it governs. The normal justification thesis then asks whether subjects are more likely to act in alignment with those reasons by following the authority than by deciding entirely for themselves. If so, Raz argues, the directive can become pre-emptive, that is, rather than treating the authority's instruction as merely one additional reason to place in the balance, subjects may properly allow it to replace their own reconsideration of the underlying reasons. Authority is thus justified where following it enables the individual to conform better to reasons that independently apply to them. </w:t>
      </w:r>
    </w:p>
    <w:p w:rsidR="00000000" w:rsidDel="00000000" w:rsidP="00000000" w:rsidRDefault="00000000" w:rsidRPr="00000000" w14:paraId="0000002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Dharamsi chooses three contemporary cases to test the application of the Razian account under different conditions. The first is public-health mandates, where expertise and coordination may enable individuals to better align their actions with reasons that already apply to them. However, restrictions on political protest and Bill 21 (a Quebecois law forbidding public sector workers from wearing religious symbols at work) present more difficult scenarios for different reasons. Restrictions on protest can suppress political agency and dissent, while Bill 21 also raises questions about whether the state possesses the epistemic advantage required to direct citizens in matters involving deeply contested religious and ethical commitments. Hence, Dharamsi presents a defense of “authority without presumption.” Authority is possible, but it is conditional, domain-specific, and continuously vulnerable to failure. A state can possess moral authority in one domain without possessing it in another, and legal power may persist even where moral authority has failed.</w:t>
      </w:r>
    </w:p>
    <w:p w:rsidR="00000000" w:rsidDel="00000000" w:rsidP="00000000" w:rsidRDefault="00000000" w:rsidRPr="00000000" w14:paraId="0000002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Dharamsi’s conclusion on the Razian account is in conversation with Oakeshottian argument in Coat's essay. While Oakeshott cautions against assessing political association by the substantive outcomes it achieves, Dharamsi argues that some continuing assessment of how authority serves the reasons of those governed is necessary to determine whether that authority is morally justified.</w:t>
      </w:r>
    </w:p>
    <w:p w:rsidR="00000000" w:rsidDel="00000000" w:rsidP="00000000" w:rsidRDefault="00000000" w:rsidRPr="00000000" w14:paraId="00000029">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Kevin Vallier reconstructs Gerald Gaus's justification of the state from a theory of moral relations among free and equal persons who disagree deeply about values. Contrary to accounts which begin with the principle that authorizes the state, Gaus begins with social morality and asks how moral relations can be sustained despite such disagreement. In this account, coercive moral and political rules must be justifiable to each person subject to them. Hence, social morality has priority over political authority because the state serves a moral order that it does not itself create.</w:t>
      </w:r>
    </w:p>
    <w:p w:rsidR="00000000" w:rsidDel="00000000" w:rsidP="00000000" w:rsidRDefault="00000000" w:rsidRPr="00000000" w14:paraId="0000002A">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problem, however, arises from the fact of disagreement. Different persons may have different reasons for accepting the same rule, and public justification may not always identify one uniquely correct rule. Several rules may therefore be justifiable from the different evaluative perspectives of those subject to them. Gaus calls this range of rules the optimal eligible set. But this creates an additional challenge. If several rules are eligible, society must still settle on one of them for individuals to coordinate their conduct. </w:t>
      </w:r>
    </w:p>
    <w:p w:rsidR="00000000" w:rsidDel="00000000" w:rsidP="00000000" w:rsidRDefault="00000000" w:rsidRPr="00000000" w14:paraId="0000002B">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Vallier argues that this is where the justification of the state becomes important. Many problems of coordination can be addressed through social conventions and evolved moral practices without state coercion. It is at the point where these arrangements are insufficient to either secure publicly justified rights, or resolve persistent problems of coordination, that political authority becomes necessary. Vallier therefore argues that Gaus's position does not lead to anarchism or an extensive state. Some provision of public goods and social insurance may be justified, while comprehensive economic planning and extensive redistribution face greater difficulties of public justification. This is what Gaus describes as a “classical tilt” towards limited government.</w:t>
      </w:r>
    </w:p>
    <w:p w:rsidR="00000000" w:rsidDel="00000000" w:rsidP="00000000" w:rsidRDefault="00000000" w:rsidRPr="00000000" w14:paraId="0000002C">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Jeff Carroll examines A. John Simmons's distinction between state justification and legitimacy. Simmons takes justification to mean a defensive concept concerned with answering objections to an institution. And these objections can generate different justificatory views. For instance, while optimality justification asks whether the state is superior to relevant alternatives, permissibility justification asks whether it satisfies the relevant moral constraints.</w:t>
      </w:r>
    </w:p>
    <w:p w:rsidR="00000000" w:rsidDel="00000000" w:rsidP="00000000" w:rsidRDefault="00000000" w:rsidRPr="00000000" w14:paraId="0000002D">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Legitimacy, on the other hand, concerns whether the state possesses the moral right to impose and enforce duties on particular persons. Simmons argues that actual voluntary consent is required for legitimacy. His </w:t>
      </w:r>
      <w:r w:rsidDel="00000000" w:rsidR="00000000" w:rsidRPr="00000000">
        <w:rPr>
          <w:rFonts w:ascii="Times New Roman" w:cs="Times New Roman" w:eastAsia="Times New Roman" w:hAnsi="Times New Roman"/>
          <w:i w:val="1"/>
          <w:iCs w:val="1"/>
          <w:sz w:val="24"/>
          <w:szCs w:val="24"/>
          <w:rtl w:val="0"/>
        </w:rPr>
        <w:t xml:space="preserve">a posteriori</w:t>
      </w:r>
      <w:r w:rsidDel="00000000" w:rsidR="00000000" w:rsidRPr="00000000">
        <w:rPr>
          <w:rFonts w:ascii="Times New Roman" w:cs="Times New Roman" w:eastAsia="Times New Roman" w:hAnsi="Times New Roman"/>
          <w:sz w:val="24"/>
          <w:szCs w:val="24"/>
          <w:rtl w:val="0"/>
        </w:rPr>
        <w:t xml:space="preserve"> philosophical anarchism, therefore, allows that a state may be justified without being legitimate. As earlier noted, Simmons concedes that existing states may be defensible institutions while lacking legitimate authority over persons who have not voluntarily authorized their rule.</w:t>
      </w:r>
    </w:p>
    <w:p w:rsidR="00000000" w:rsidDel="00000000" w:rsidP="00000000" w:rsidRDefault="00000000" w:rsidRPr="00000000" w14:paraId="0000002E">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Carroll intervenes by asking how these distinct considerations should be weighed and thus rejects the view that a state's lack of legitimacy must always take priority over the reasons for regarding the state as justified. A contextualist interpretation is consequently provided. In this, the relative weight of justification and legitimacy depends upon the circumstances.</w:t>
      </w:r>
    </w:p>
    <w:p w:rsidR="00000000" w:rsidDel="00000000" w:rsidP="00000000" w:rsidRDefault="00000000" w:rsidRPr="00000000" w14:paraId="0000002F">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Carroll argues that the justification and legitimacy of the state do not necessarily extend to the actions it performs. A justified state may perform an unjustified act, just as an unjustified state may perform a justified one. The justification or legitimacy of the state therefore does not automatically determine the justification or legitimacy of its particular actions.</w:t>
      </w:r>
    </w:p>
    <w:p w:rsidR="00000000" w:rsidDel="00000000" w:rsidP="00000000" w:rsidRDefault="00000000" w:rsidRPr="00000000" w14:paraId="00000030">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Chrysogonus Okwenna develops a Ripsteinian justification of the state through Arthur Ripstein's Kantian account of external freedom. Okwenna's “coercion all the way down” thesis challenges the assumption that coercion first enters social relations with the state. Many justifications of the state already appeal to goods whose realization depends upon enforceable rules. For instance, rights require protection against violation, while security requires the capacity to restrain threats, and contractual and coordinative arrangements require some assurance of compliance. Coercion is therefore already presupposed by many of the goods ordinarily invoked to justify political authority.</w:t>
      </w:r>
    </w:p>
    <w:p w:rsidR="00000000" w:rsidDel="00000000" w:rsidP="00000000" w:rsidRDefault="00000000" w:rsidRPr="00000000" w14:paraId="00000031">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Okwenna’s contribution, consequently, implies that removing public authority does not eliminate this problem. Rights, property, contracts, injuries, and remedies would still have to be interpreted and enforced. Meanwhile, without public institutions, individuals or private associations must make these determinations through their own judgment and enforce them through the power available to them. The alternative to state coercion is therefore not necessarily a condition without coercion, but one in which coercion remains private. </w:t>
      </w:r>
    </w:p>
    <w:p w:rsidR="00000000" w:rsidDel="00000000" w:rsidP="00000000" w:rsidRDefault="00000000" w:rsidRPr="00000000" w14:paraId="00000032">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Drawing on Ripstein, Okwenna argues that public authority addresses two problems arising from this condition. First, determinacy concerns how the content and boundaries of rights can be settled where private judgments conflict. Second, assurance concerns how those rights can be secured without making their enforcement depend upon the willingness or relative strength of private parties. Public institutions provide common determination and enforcement of rights. Coercion can, in this sense, operate as a “hindrance of a hindrance”: public force restricts wrongful interference and thereby helps establish reciprocal external freedom. This concept of the State is similar to Bosanquet's, discussed in our first essay. Okwenna's conclusion that a public coercive order can be justified because it replaces private determination and enforcement with a common system of right.</w:t>
      </w:r>
    </w:p>
    <w:p w:rsidR="00000000" w:rsidDel="00000000" w:rsidP="00000000" w:rsidRDefault="00000000" w:rsidRPr="00000000" w14:paraId="00000033">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Melissa Moschella examines John Finnis's natural-law account of political authority and law. Finnis's account challenges voluntarist theories that ground authority in consent, as well as legal-positivist accounts that separate law from the moral reasons for following it. Finnis begins from a substantive conception of practical reason in which basic human goods provide non-instrumental reasons for action. Practical reasonableness also requires fairness and concern for the common good. Political community becomes necessary because individuals, families, and smaller associations cannot provide all the conditions required for human flourishing.</w:t>
      </w:r>
    </w:p>
    <w:p w:rsidR="00000000" w:rsidDel="00000000" w:rsidP="00000000" w:rsidRDefault="00000000" w:rsidRPr="00000000" w14:paraId="00000034">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problem, however, arises because practical reason may establish the need for a common rule without determining which particular rule should govern. Traffic regulation provides a useful example. There are reasons for everyone to coordinate, but those reasons do not determine whether vehicles should travel on the left or the right. Finnis calls the authoritative settlement among such reasonable alternatives determinatio. Once legitimate authority selects one of these alternatives, citizens acquire a reason to follow that particular rule.</w:t>
      </w:r>
    </w:p>
    <w:p w:rsidR="00000000" w:rsidDel="00000000" w:rsidP="00000000" w:rsidRDefault="00000000" w:rsidRPr="00000000" w14:paraId="00000035">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Moschella uses this account to challenge Raz's conception of authority, earlier examined by Dharamsi. Raz maintains that legitimate authority helps subjects conform better to reasons that already apply to them. On the contrary, Finnis, argues that that authoritative law can give citizens a reason to follow one particular rule by settling among alternatives that were previously permissible. Moschella argues that this disagreement reflects a deeper difference concerning practical rationality. On the Finnisian account, fairness, practical reasonableness, and participation in the common good can themselves provide non-instrumental reasons for action. A just legal order can therefore provide moral reasons for obedience, although the resulting obligation is </w:t>
      </w:r>
      <w:r w:rsidDel="00000000" w:rsidR="00000000" w:rsidRPr="00000000">
        <w:rPr>
          <w:rFonts w:ascii="Times New Roman" w:cs="Times New Roman" w:eastAsia="Times New Roman" w:hAnsi="Times New Roman"/>
          <w:i w:val="1"/>
          <w:iCs w:val="1"/>
          <w:sz w:val="24"/>
          <w:szCs w:val="24"/>
          <w:rtl w:val="0"/>
        </w:rPr>
        <w:t xml:space="preserve">prima facie</w:t>
      </w:r>
      <w:r w:rsidDel="00000000" w:rsidR="00000000" w:rsidRPr="00000000">
        <w:rPr>
          <w:rFonts w:ascii="Times New Roman" w:cs="Times New Roman" w:eastAsia="Times New Roman" w:hAnsi="Times New Roman"/>
          <w:sz w:val="24"/>
          <w:szCs w:val="24"/>
          <w:rtl w:val="0"/>
        </w:rPr>
        <w:t xml:space="preserve"> rather than absolute. Seriously unjust laws may lack the moral authority ordinarily associated with law. Moschella's defence of Finnis goes beyond the disagreement with Raz and extends to a broader challenge to voluntarist and legal-positivist accounts of political authority.</w:t>
      </w:r>
    </w:p>
    <w:p w:rsidR="00000000" w:rsidDel="00000000" w:rsidP="00000000" w:rsidRDefault="00000000" w:rsidRPr="00000000" w14:paraId="00000036">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Daniel Klein asks whether seeking to justify the existence of the State is even a worthwhile undertaking. Given that we have states, and that they are not going away anytime soon, he suggests that the actual, important question is what we should do with them while we have them. He contends that contemplating whether the existence of something is justified means asking whether it is just for a human either to aim to bring that thing into original existence or to annihilate the thing as extant. However, if that something is the State then, either way, the action is farfetched and hard to imagine. Klein argues that the existence of government is an unalterable reality, and that, like mortality, it is something to be managed, but not something in need of justification. He draws upon the work of Hume, Adam Smith, and Burke to buttress his contention.</w:t>
      </w:r>
    </w:p>
    <w:p w:rsidR="00000000" w:rsidDel="00000000" w:rsidP="00000000" w:rsidRDefault="00000000" w:rsidRPr="00000000" w14:paraId="00000037">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analysis of each chapter above shows, the entries in this volume make fresh contributions, through critical analysis, exposition, and reconstruction, to the discourse on the justification of the state. A singular framework is not adopted as the lens through which the state is analyzed, morally interrogated, justified, or rejected. The contributors proceed from different philosophical traditions and justificatory grounds. Each contribution retains a distinct voice while extending the conversation on the justification of the state. </w:t>
      </w:r>
    </w:p>
    <w:p w:rsidR="00000000" w:rsidDel="00000000" w:rsidP="00000000" w:rsidRDefault="00000000" w:rsidRPr="00000000" w14:paraId="00000038">
      <w:pPr>
        <w:spacing w:after="280" w:before="280" w:line="360" w:lineRule="auto"/>
        <w:jc w:val="both"/>
        <w:rPr/>
      </w:pPr>
      <w:r w:rsidDel="00000000" w:rsidR="00000000" w:rsidRPr="00000000">
        <w:rPr>
          <w:rFonts w:ascii="Times New Roman" w:cs="Times New Roman" w:eastAsia="Times New Roman" w:hAnsi="Times New Roman"/>
          <w:sz w:val="24"/>
          <w:szCs w:val="24"/>
          <w:rtl w:val="0"/>
        </w:rPr>
        <w:t xml:space="preserve">Readers of this volume will discover that the justification of the state remains a complex philosophical problem. The nature of disagreement on whether the state can be justified, the ways in which such justification might proceed, and the scope of the authority that might follow from it will provoke further discourse. This volume demonstrates that this topic continues to provoke lively discussion.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