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DB645" w14:textId="77777777" w:rsidR="00DD7E55" w:rsidRDefault="00DD7E55" w:rsidP="003A02D2">
      <w:pPr>
        <w:pStyle w:val="Heading1"/>
      </w:pPr>
      <w:r>
        <w:t>A Razian Audit of State Authority: Political Obligation, Legal Directives, and the Limits of Legitimate Power</w:t>
      </w:r>
    </w:p>
    <w:p w14:paraId="1A864432" w14:textId="77777777" w:rsidR="00DD7E55" w:rsidRDefault="00DD7E55" w:rsidP="00DD7E55"/>
    <w:p w14:paraId="2BF2E9EA" w14:textId="228A3824" w:rsidR="00DD7E55" w:rsidRDefault="00DD7E55" w:rsidP="003A02D2">
      <w:pPr>
        <w:pStyle w:val="Author"/>
      </w:pPr>
      <w:r>
        <w:t>Karim Dharamsi</w:t>
      </w:r>
      <w:r w:rsidR="003A02D2">
        <w:br/>
      </w:r>
      <w:r>
        <w:t>Mount Royal University</w:t>
      </w:r>
    </w:p>
    <w:p w14:paraId="21046EE1" w14:textId="77777777" w:rsidR="00DD7E55" w:rsidRDefault="00DD7E55" w:rsidP="00DD7E55"/>
    <w:p w14:paraId="421E8268" w14:textId="77777777" w:rsidR="00DD7E55" w:rsidRDefault="00DD7E55" w:rsidP="003A02D2">
      <w:pPr>
        <w:pStyle w:val="Heading2"/>
      </w:pPr>
      <w:r>
        <w:t>1. Introduction</w:t>
      </w:r>
    </w:p>
    <w:p w14:paraId="277DB35D" w14:textId="77777777" w:rsidR="00DD7E55" w:rsidRDefault="00DD7E55" w:rsidP="00DD7E55"/>
    <w:p w14:paraId="461BE380" w14:textId="18990D56" w:rsidR="00DD7E55" w:rsidRDefault="00DD7E55" w:rsidP="003A02D2">
      <w:pPr>
        <w:ind w:firstLine="720"/>
      </w:pPr>
      <w:r>
        <w:t>The problem of political obligation has long occupied a central place in political philosophy: why, if at all, are individuals morally bound to obey the state? Classical answers, from the social contract theories of Hobbes, Locke, and Rousseau to more recent consent and fairness-based accounts, seek to ground legitimacy in voluntary agreement or reciprocal benefit. However, a persistent difficulty remains. Most citizens have never meaningfully consented to political authority; they inherit political membership rather than choosing it. Nor does the mere receipt of benefits reliably generate obligation, particularly where the state monopolizes essential goods and leaves subjects with no genuine alternative. If political obligation requires actual consent, most existing states lack legitimacy. If it requires only tacit consent or benefit receipt, the account risks collapsing into a moralized justification of coercion.</w:t>
      </w:r>
      <w:r w:rsidR="00281DB7">
        <w:rPr>
          <w:rStyle w:val="EndnoteReference"/>
        </w:rPr>
        <w:endnoteReference w:id="1"/>
      </w:r>
    </w:p>
    <w:p w14:paraId="6D7ECAD1" w14:textId="77777777" w:rsidR="0089364B" w:rsidRDefault="00DD7E55" w:rsidP="0089364B">
      <w:pPr>
        <w:ind w:firstLine="720"/>
      </w:pPr>
      <w:r>
        <w:t>Joseph Raz’s service conception of authority reframes this problem in a more demanding way. Rather than grounding legitimacy in the will or acquiescence of subjects, Raz ties it to the practical reasons that already apply to them. According to Raz, authority is justified only insofar as its directives help subjects better conform to those reasons.</w:t>
      </w:r>
      <w:r w:rsidR="00281DB7">
        <w:rPr>
          <w:rStyle w:val="EndnoteReference"/>
        </w:rPr>
        <w:endnoteReference w:id="2"/>
      </w:r>
      <w:r>
        <w:t xml:space="preserve"> </w:t>
      </w:r>
      <w:r w:rsidR="0089364B" w:rsidRPr="0089364B">
        <w:rPr>
          <w:lang w:val="en-CA"/>
        </w:rPr>
        <w:t xml:space="preserve">Authority, in this sense, is not a source of reasons </w:t>
      </w:r>
      <w:r w:rsidR="0089364B" w:rsidRPr="0089364B">
        <w:rPr>
          <w:i/>
          <w:iCs/>
          <w:lang w:val="en-CA"/>
        </w:rPr>
        <w:t>ex nihilo</w:t>
      </w:r>
      <w:r w:rsidR="0089364B" w:rsidRPr="0089364B">
        <w:rPr>
          <w:lang w:val="en-CA"/>
        </w:rPr>
        <w:t xml:space="preserve"> but a device that coordinates, clarifies, and sometimes prioritizes reasons agents already possess</w:t>
      </w:r>
      <w:r>
        <w:t xml:space="preserve">. </w:t>
      </w:r>
    </w:p>
    <w:p w14:paraId="2242BB0B" w14:textId="0EF7A5DF" w:rsidR="00DD7E55" w:rsidRPr="0089364B" w:rsidRDefault="00DD7E55" w:rsidP="0089364B">
      <w:pPr>
        <w:ind w:firstLine="720"/>
        <w:rPr>
          <w:lang w:val="en-CA"/>
        </w:rPr>
      </w:pPr>
      <w:r>
        <w:t>Raz formalizes this view through two central claims. The dependence thesis holds that authoritative directives must reflect subjects’ antecedent reasons, while the normal justification thesis maintains that subjects are warranted in treating a directive as binding when doing so enables them to act more reliably on those reasons than if they relied on their own judgment alone. When both conditions are satisfied, directives acquire pre-emptive force. When either fails, legal validity may remain, but moral obligation does not.</w:t>
      </w:r>
      <w:r w:rsidR="00281DB7">
        <w:rPr>
          <w:rStyle w:val="EndnoteReference"/>
        </w:rPr>
        <w:endnoteReference w:id="3"/>
      </w:r>
      <w:r w:rsidR="00281DB7">
        <w:t xml:space="preserve"> </w:t>
      </w:r>
      <w:r>
        <w:t xml:space="preserve">This account draws a sharp distinction between authority and power. States may possess extensive coercive capacities, but </w:t>
      </w:r>
      <w:r>
        <w:lastRenderedPageBreak/>
        <w:t>coercion without justification constitutes domination rather than authority. Legitimacy, on this view, is not an institutional presumption but a moral success condition, secured only where directives contribute to subjects’ practical reasoning.</w:t>
      </w:r>
    </w:p>
    <w:p w14:paraId="430CF874" w14:textId="1CDAB842" w:rsidR="00DD7E55" w:rsidRPr="0083504C" w:rsidRDefault="0083504C" w:rsidP="0083504C">
      <w:pPr>
        <w:ind w:firstLine="720"/>
        <w:rPr>
          <w:lang w:val="en-CA"/>
        </w:rPr>
      </w:pPr>
      <w:r w:rsidRPr="0083504C">
        <w:rPr>
          <w:lang w:val="en-CA"/>
        </w:rPr>
        <w:t xml:space="preserve">The purpose of this chapter is to put Raz’s service conception to work as a normative audit of state authority. Rather than treating the theory as an abstract account of political obligation, the chapter operationalizes Raz’s criteria as evaluative standards for assessing concrete exercises of legal power in contemporary liberal democracies. The aim is not illustrative but diagnostic: to determine, domain by domain, whether </w:t>
      </w:r>
      <w:proofErr w:type="gramStart"/>
      <w:r w:rsidRPr="0083504C">
        <w:rPr>
          <w:lang w:val="en-CA"/>
        </w:rPr>
        <w:t>particular directives</w:t>
      </w:r>
      <w:proofErr w:type="gramEnd"/>
      <w:r w:rsidRPr="0083504C">
        <w:rPr>
          <w:lang w:val="en-CA"/>
        </w:rPr>
        <w:t xml:space="preserve"> plausibly satisfy the dependence and normal justification theses. To that end, the analysis examines three distinct pressure points in the exercise of authority</w:t>
      </w:r>
      <w:r>
        <w:rPr>
          <w:lang w:val="en-CA"/>
        </w:rPr>
        <w:t>—</w:t>
      </w:r>
      <w:r w:rsidRPr="0083504C">
        <w:rPr>
          <w:lang w:val="en-CA"/>
        </w:rPr>
        <w:t>public health mandates during the COVID-19 pandemic, anti-protest legislation, and Quebec’s secularism law (Bill 21). Each case isolates a different justificatory challenge: coordination under epistemic uncertainty, the regulation of political dissent, and governance amid deep ethical pluralism.</w:t>
      </w:r>
    </w:p>
    <w:p w14:paraId="30E3651E" w14:textId="77777777" w:rsidR="00DD7E55" w:rsidRDefault="00DD7E55" w:rsidP="003A02D2">
      <w:pPr>
        <w:ind w:firstLine="720"/>
      </w:pPr>
      <w:r>
        <w:t>Taken together, the cases reveal that legitimacy in liberal democracies is often patchy rather than presumptive. In some domains—most notably certain public-health directives issued during periods of acute uncertainty—state authority plausibly satisfies Raz’s demanding standards by coordinating action and improving subjects’ conformity to harm-avoidance and collective-protection reasons. In other domains, including broad restrictions on protest and uniform bans on religious symbols, directives frequently fail to reflect or advance the reasons of those subject to them. Here, legal power remains intact, but the claim to authority fails.</w:t>
      </w:r>
    </w:p>
    <w:p w14:paraId="7CDCF5F0" w14:textId="2FA27DF2" w:rsidR="0083504C" w:rsidRPr="0083504C" w:rsidRDefault="0083504C" w:rsidP="0083504C">
      <w:pPr>
        <w:ind w:firstLine="720"/>
        <w:rPr>
          <w:lang w:val="en-CA"/>
        </w:rPr>
      </w:pPr>
      <w:r w:rsidRPr="0083504C">
        <w:rPr>
          <w:lang w:val="en-CA"/>
        </w:rPr>
        <w:t>This analysis does not endorse philosophical anarchism. While critics such as Robert Paul Wolff</w:t>
      </w:r>
      <w:r>
        <w:rPr>
          <w:rStyle w:val="EndnoteReference"/>
          <w:lang w:val="en-CA"/>
        </w:rPr>
        <w:endnoteReference w:id="4"/>
      </w:r>
      <w:r w:rsidRPr="0083504C">
        <w:rPr>
          <w:lang w:val="en-CA"/>
        </w:rPr>
        <w:t xml:space="preserve"> argue that the very idea of legitimate political authority is incoherent—because autonomy requires that individuals never substitute another’s judgment for their own—Raz’s framework insists that authority is possible, though conditional, domain-specific, and continuously vulnerable to failure. Authority does not negate autonomy on this view; it can enhance it where deference improves conformity to reasons that already bind the agent.</w:t>
      </w:r>
    </w:p>
    <w:p w14:paraId="15445643" w14:textId="77777777" w:rsidR="00281DB7" w:rsidRDefault="00DD7E55" w:rsidP="003A02D2">
      <w:pPr>
        <w:ind w:firstLine="720"/>
      </w:pPr>
      <w:r>
        <w:t xml:space="preserve">The more interesting challenge, however, does not come from anarchism but from competing liberal conceptions of authority itself. W. J. Coates’s contribution to this volume, reconstructing Michael Oakeshott’s account of authority through the distinction between civil and enterprise association, the non-instrumental character of law, and the ideal of generality, provides a sharply different orientation. </w:t>
      </w:r>
    </w:p>
    <w:p w14:paraId="3AA1316B" w14:textId="5A37C556" w:rsidR="00DD7E55" w:rsidRDefault="00DD7E55" w:rsidP="003A02D2">
      <w:pPr>
        <w:ind w:firstLine="720"/>
      </w:pPr>
      <w:r>
        <w:lastRenderedPageBreak/>
        <w:t>On Oakeshott’s view, authority is endangered not primarily by failure to serve subjects’ reasons, but by a transformation in the self-understanding of the modern state. Once political rule is justified in terms of substantive purposes, policy outcomes, or managerial success, it ceases to be recognizably authoritative and collapses into purposive power.</w:t>
      </w:r>
      <w:r w:rsidR="00281DB7">
        <w:rPr>
          <w:rStyle w:val="EndnoteReference"/>
        </w:rPr>
        <w:endnoteReference w:id="5"/>
      </w:r>
    </w:p>
    <w:p w14:paraId="539BD112" w14:textId="11C9429B" w:rsidR="00DD7E55" w:rsidRDefault="00DD7E55" w:rsidP="003A02D2">
      <w:pPr>
        <w:ind w:firstLine="720"/>
      </w:pPr>
      <w:r>
        <w:t>Raz and Oakeshott can thus be read as responding to different legitimacy anxieties. Oakeshott’s concern is internal and structural: authority must be protected from instrumentalization by preserving the formal character of law as a system of general, non-purposive rules. Raz’s concern is external and justificatory: authority must be vindicated by showing that deference improves agents’ conformity to reasons that already apply to them.</w:t>
      </w:r>
      <w:r w:rsidR="00503FCE">
        <w:rPr>
          <w:rStyle w:val="EndnoteReference"/>
        </w:rPr>
        <w:endnoteReference w:id="6"/>
      </w:r>
      <w:r>
        <w:t xml:space="preserve"> The former safeguards authority by insulating it from managerial criteria; the latter subjects authority to continuous moral audit.</w:t>
      </w:r>
    </w:p>
    <w:p w14:paraId="25DC7352" w14:textId="1BB2FCEA" w:rsidR="003A02D2" w:rsidRDefault="00DD7E55" w:rsidP="003A02D2">
      <w:pPr>
        <w:ind w:firstLine="720"/>
        <w:rPr>
          <w:lang w:val="en-CA"/>
        </w:rPr>
      </w:pPr>
      <w:r>
        <w:t xml:space="preserve">It is tempting to treat Coates’s Oakeshottian reconstruction as a foil for the Razian audit undertaken here. The contrast is illuminating. Yet allowing it to structure the argument would misdescribe the project. Oakeshott deliberately resists case-by-case justificatory assessment by subjects; authority is sustained through fidelity to a mode of association rather than through domain-specific performance. Raz, by contrast, places the justificatory burden precisely at the level of subjects’ practical reasoning. </w:t>
      </w:r>
      <w:r w:rsidR="00C82C53" w:rsidRPr="00C82C53">
        <w:t>Authority remains vulnerable to partial failure even where legality and institutional stability remain intac</w:t>
      </w:r>
      <w:r>
        <w:t xml:space="preserve">t. The present chapter therefore aligns with the latter orientation. It treats authority not as a standing achievement secured by form alone, but as a moral relation that must be continuously answerable to the reasons of those governed. </w:t>
      </w:r>
      <w:r w:rsidRPr="00DD7E55">
        <w:rPr>
          <w:lang w:val="en-CA"/>
        </w:rPr>
        <w:t>From an Oakeshottian perspective, however, this very move may appear suspect. To subject authority to continuous justificatory audit is to evaluate law by its success in serving substantive purposes, thereby risking the transformation of civil association into a form of enterprise association. What Raz treats as the moral discipline of authority, Oakeshott might regard as the first step toward its instrumentalization</w:t>
      </w:r>
      <w:r w:rsidRPr="003A02D2">
        <w:rPr>
          <w:lang w:val="en-CA"/>
        </w:rPr>
        <w:t xml:space="preserve">. </w:t>
      </w:r>
      <w:r w:rsidR="003A02D2" w:rsidRPr="003A02D2">
        <w:rPr>
          <w:lang w:val="en-CA"/>
        </w:rPr>
        <w:t>This chapter nevertheless proceeds on the Razian assumption that authority’s claim to obedience cannot be secured by form alone but must remain answerable to the practical reasons of those governed—even at the cost of exposing it to partial failure.</w:t>
      </w:r>
    </w:p>
    <w:p w14:paraId="6F1DF70F" w14:textId="6214791A" w:rsidR="00DD7E55" w:rsidRDefault="0083504C" w:rsidP="006C4799">
      <w:pPr>
        <w:ind w:firstLine="720"/>
        <w:rPr>
          <w:lang w:val="en-CA"/>
        </w:rPr>
      </w:pPr>
      <w:r w:rsidRPr="0083504C">
        <w:rPr>
          <w:lang w:val="en-CA"/>
        </w:rPr>
        <w:t xml:space="preserve">The argument advanced here is neither sociological nor insurgent. It does not attempt to explain why citizens feel alienated from political institutions, nor does it contend that widespread disobedience is warranted. Its aim is normative and diagnostic. </w:t>
      </w:r>
      <w:r w:rsidR="006C4799" w:rsidRPr="006C4799">
        <w:rPr>
          <w:lang w:val="en-CA"/>
        </w:rPr>
        <w:t xml:space="preserve">By applying Raz’s criteria as a public test, the chapter distinguishes domains in which legal directives plausibly generate </w:t>
      </w:r>
      <w:r w:rsidR="006C4799" w:rsidRPr="006C4799">
        <w:rPr>
          <w:lang w:val="en-CA"/>
        </w:rPr>
        <w:lastRenderedPageBreak/>
        <w:t>obligation from those in which they merely command compliance. The result is not a general theory of democratic decline, but a domain-sensitive account of when authority genuinely serves practical reason and when it collapses into the exercise of power.</w:t>
      </w:r>
    </w:p>
    <w:p w14:paraId="57EB6CC5" w14:textId="77777777" w:rsidR="006C4799" w:rsidRDefault="006C4799" w:rsidP="006C4799">
      <w:pPr>
        <w:ind w:firstLine="720"/>
      </w:pPr>
    </w:p>
    <w:p w14:paraId="6B9BEC30" w14:textId="77777777" w:rsidR="00DD7E55" w:rsidRDefault="00DD7E55" w:rsidP="003A02D2">
      <w:pPr>
        <w:pStyle w:val="Heading2"/>
      </w:pPr>
      <w:r>
        <w:t>2. Raz’s Service Conception of Authority</w:t>
      </w:r>
    </w:p>
    <w:p w14:paraId="57C0E34C" w14:textId="77777777" w:rsidR="00DD7E55" w:rsidRDefault="00DD7E55" w:rsidP="00DD7E55"/>
    <w:p w14:paraId="06CAFF4A" w14:textId="1C1158BA" w:rsidR="008605D1" w:rsidRPr="008605D1" w:rsidRDefault="00C82C53" w:rsidP="008605D1">
      <w:pPr>
        <w:ind w:firstLine="720"/>
        <w:rPr>
          <w:lang w:val="en-CA"/>
        </w:rPr>
      </w:pPr>
      <w:r w:rsidRPr="00C82C53">
        <w:rPr>
          <w:lang w:val="en-CA"/>
        </w:rPr>
        <w:t>Raz’s service conception offers one of the most demanding contemporary accounts of when political power generates a moral duty to obey</w:t>
      </w:r>
      <w:r w:rsidR="008605D1" w:rsidRPr="008605D1">
        <w:rPr>
          <w:lang w:val="en-CA"/>
        </w:rPr>
        <w:t>.</w:t>
      </w:r>
      <w:r w:rsidR="008605D1">
        <w:rPr>
          <w:rStyle w:val="EndnoteReference"/>
          <w:lang w:val="en-CA"/>
        </w:rPr>
        <w:endnoteReference w:id="7"/>
      </w:r>
      <w:r w:rsidR="008605D1" w:rsidRPr="008605D1">
        <w:rPr>
          <w:lang w:val="en-CA"/>
        </w:rPr>
        <w:t xml:space="preserve"> Unlike consent-based or procedural theories, it does not begin with institutional authorization or popular will. It begins with a question of practical reason: under what conditions does treating a directive as binding help agents better conform to reasons that already apply to them?</w:t>
      </w:r>
    </w:p>
    <w:p w14:paraId="34B06950" w14:textId="214E908D" w:rsidR="008605D1" w:rsidRPr="008605D1" w:rsidRDefault="008605D1" w:rsidP="008605D1">
      <w:pPr>
        <w:ind w:firstLine="720"/>
        <w:rPr>
          <w:lang w:val="en-CA"/>
        </w:rPr>
      </w:pPr>
      <w:r w:rsidRPr="008605D1">
        <w:rPr>
          <w:lang w:val="en-CA"/>
        </w:rPr>
        <w:t xml:space="preserve">This shift reframes the problem of political obligation. Authority, for Raz, is not a standing entitlement of the state but a moral relationship between subject and directive. To call an authority legitimate is to say that its directives serve the subject’s antecedent reasons by improving her conformity to them. Authority does not create reasons </w:t>
      </w:r>
      <w:r w:rsidRPr="008605D1">
        <w:rPr>
          <w:i/>
          <w:iCs/>
          <w:lang w:val="en-CA"/>
        </w:rPr>
        <w:t>ex nihilo</w:t>
      </w:r>
      <w:r w:rsidRPr="008605D1">
        <w:rPr>
          <w:lang w:val="en-CA"/>
        </w:rPr>
        <w:t>; it structures and coordinates reasons agents already have.</w:t>
      </w:r>
      <w:r>
        <w:rPr>
          <w:rStyle w:val="EndnoteReference"/>
          <w:lang w:val="en-CA"/>
        </w:rPr>
        <w:endnoteReference w:id="8"/>
      </w:r>
    </w:p>
    <w:p w14:paraId="0DC148FD" w14:textId="77777777" w:rsidR="008605D1" w:rsidRPr="008605D1" w:rsidRDefault="008605D1" w:rsidP="008605D1">
      <w:pPr>
        <w:ind w:firstLine="720"/>
        <w:rPr>
          <w:lang w:val="en-CA"/>
        </w:rPr>
      </w:pPr>
      <w:r w:rsidRPr="008605D1">
        <w:rPr>
          <w:lang w:val="en-CA"/>
        </w:rPr>
        <w:t>Raz articulates this view through two closely connected theses: dependence and normal justification.</w:t>
      </w:r>
    </w:p>
    <w:p w14:paraId="142A2ADB" w14:textId="6EDAFA87" w:rsidR="00DD7E55" w:rsidRDefault="00DD7E55" w:rsidP="008605D1"/>
    <w:p w14:paraId="30BAD0A0" w14:textId="77777777" w:rsidR="00DD7E55" w:rsidRDefault="00DD7E55" w:rsidP="00445A9C">
      <w:pPr>
        <w:pStyle w:val="Heading2"/>
      </w:pPr>
      <w:r>
        <w:t>2.1 Dependence, Normal Justification, and Pre-emptive Force</w:t>
      </w:r>
    </w:p>
    <w:p w14:paraId="09E26564" w14:textId="77777777" w:rsidR="00DD7E55" w:rsidRDefault="00DD7E55" w:rsidP="00DD7E55"/>
    <w:p w14:paraId="1CF11B48" w14:textId="50039047" w:rsidR="00DD7E55" w:rsidRDefault="00DD7E55" w:rsidP="00445A9C">
      <w:pPr>
        <w:ind w:firstLine="720"/>
      </w:pPr>
      <w:r>
        <w:t>As noted, the dependence thesis holds that authoritative directives must be grounded in reasons that already apply to the subjects of that authority.</w:t>
      </w:r>
      <w:r w:rsidR="00445A9C">
        <w:rPr>
          <w:rStyle w:val="EndnoteReference"/>
        </w:rPr>
        <w:endnoteReference w:id="9"/>
      </w:r>
      <w:r>
        <w:t xml:space="preserve"> Authority cannot generate reasons independently of agents’ normative situation. A legal rule can bind only if it reflects antecedent moral or prudential considerations, such as reasons to avoid harm, secure cooperation, or maintain fair terms of social interaction. Where a directive fails to reflect such reasons, it lacks the normative basis required for authority. This condition ensures that authority remains tethered to agents’ own reasons, even where deliberation is displaced at the level of action.</w:t>
      </w:r>
    </w:p>
    <w:p w14:paraId="4DD4DBE5" w14:textId="3E34CBED" w:rsidR="00DD7E55" w:rsidRPr="0089364B" w:rsidRDefault="0089364B" w:rsidP="0089364B">
      <w:pPr>
        <w:ind w:firstLine="720"/>
        <w:rPr>
          <w:lang w:val="en-CA"/>
        </w:rPr>
      </w:pPr>
      <w:r w:rsidRPr="0089364B">
        <w:rPr>
          <w:lang w:val="en-CA"/>
        </w:rPr>
        <w:t>The normal justification thesis articulates the central test of legitimacy: a person is justified in accepting authority when doing so makes them more likely to act in conformity with the reasons that already apply than if they acted independently</w:t>
      </w:r>
      <w:r w:rsidR="00DD7E55">
        <w:t>.</w:t>
      </w:r>
      <w:r w:rsidR="001E1408">
        <w:rPr>
          <w:rStyle w:val="EndnoteReference"/>
        </w:rPr>
        <w:endnoteReference w:id="10"/>
      </w:r>
      <w:r w:rsidR="00DD7E55">
        <w:t xml:space="preserve"> The justification is comparative </w:t>
      </w:r>
      <w:r w:rsidR="00DD7E55">
        <w:lastRenderedPageBreak/>
        <w:t>and instrumental. Authority need not be infallible. Instead, it must offer a superior route to the right action, given agents’ epistemic limits, coordination problems, and practical constraints.</w:t>
      </w:r>
    </w:p>
    <w:p w14:paraId="23056F35" w14:textId="5135F175" w:rsidR="00DD7E55" w:rsidRDefault="00DD7E55" w:rsidP="001E1408">
      <w:pPr>
        <w:ind w:firstLine="720"/>
      </w:pPr>
      <w:r>
        <w:t>When these two conditions are satisfied, authoritative directives acquire pre-emptive force. They do not merely add another consideration to an existing balance of reasons. They replace the need for subjects to deliberate further on the matter at hand. The directive functions as an exclusionary reason, a second-order reason not to act on certain first-order reasons that would otherwise be relevant.</w:t>
      </w:r>
      <w:r w:rsidR="001E1408">
        <w:rPr>
          <w:rStyle w:val="EndnoteReference"/>
        </w:rPr>
        <w:endnoteReference w:id="11"/>
      </w:r>
      <w:r>
        <w:t xml:space="preserve"> This explains how authority can guide action reliably without requiring agents to revisit the underlying reasons for each occasion.</w:t>
      </w:r>
    </w:p>
    <w:p w14:paraId="5A33D92F" w14:textId="77777777" w:rsidR="00DD7E55" w:rsidRDefault="00DD7E55" w:rsidP="001E1408">
      <w:pPr>
        <w:ind w:firstLine="720"/>
      </w:pPr>
      <w:r>
        <w:t>The pre-emptive character of authority also explains why its justification is morally demanding. Where either the dependence thesis or the normal justification thesis fails, a directive loses its exclusionary status. It may still be legally valid and enforceable, but it no longer binds in a moral sense. The law may command compliance, but it does not generate an obligation to obey. This distinction between legal commands and moral authority plays a central role in the case studies that follow.</w:t>
      </w:r>
    </w:p>
    <w:p w14:paraId="121FC528" w14:textId="77777777" w:rsidR="00DD7E55" w:rsidRDefault="00DD7E55" w:rsidP="00DD7E55"/>
    <w:p w14:paraId="67DB4447" w14:textId="77777777" w:rsidR="00DD7E55" w:rsidRPr="00E92157" w:rsidRDefault="00DD7E55" w:rsidP="00E92157">
      <w:pPr>
        <w:pStyle w:val="Heading2"/>
      </w:pPr>
      <w:r w:rsidRPr="00E92157">
        <w:t>2.2 Authority and Autonomy</w:t>
      </w:r>
    </w:p>
    <w:p w14:paraId="61D75333" w14:textId="77777777" w:rsidR="00DD7E55" w:rsidRDefault="00DD7E55" w:rsidP="00DD7E55"/>
    <w:p w14:paraId="1C9FAB97" w14:textId="4DA31DF3" w:rsidR="00DD7E55" w:rsidRDefault="00DD7E55" w:rsidP="00E92157">
      <w:pPr>
        <w:ind w:firstLine="720"/>
      </w:pPr>
      <w:r>
        <w:t>At first glance, Raz’s account appears to place authority and autonomy in tension. If autonomy involves self-government, then treating another’s directive as pre-emptive seems to substitute obedience for judgment. This worry is familiar, particularly in liberal traditions influenced by Kantian accounts of autonomy as independent deliberation. Raz confronts this concern directly by re-conceptualizing autonomy in terms of successful agency rather than constant choice.</w:t>
      </w:r>
    </w:p>
    <w:p w14:paraId="66E69F4B" w14:textId="05C0C720" w:rsidR="00E92157" w:rsidRDefault="00DD7E55" w:rsidP="00E92157">
      <w:pPr>
        <w:ind w:firstLine="720"/>
      </w:pPr>
      <w:r>
        <w:t>On Raz’s view, autonomy is not exhausted by the exercise of first-order judgment. It consists in the capacity to act effectively on one’s own reasons, including moral commitments, prudential aims, and obligations to others. Because agents are epistemically limited and often embedded in complex systems of coordination, they frequently act on their reasons more reliably through deference.</w:t>
      </w:r>
      <w:r w:rsidR="00E92157">
        <w:rPr>
          <w:rStyle w:val="EndnoteReference"/>
        </w:rPr>
        <w:endnoteReference w:id="12"/>
      </w:r>
      <w:r>
        <w:t xml:space="preserve"> Autonomy, in this sense, is a normative achievement rather than a psychological state.</w:t>
      </w:r>
    </w:p>
    <w:p w14:paraId="63482DAE" w14:textId="77777777" w:rsidR="00E92157" w:rsidRDefault="00DD7E55" w:rsidP="00E92157">
      <w:pPr>
        <w:ind w:firstLine="720"/>
      </w:pPr>
      <w:r>
        <w:t xml:space="preserve">This reconceptualization explains why exclusionary reasons need not undermine autonomy. When an authority satisfies the dependence and normal justification theses, accepting </w:t>
      </w:r>
      <w:r>
        <w:lastRenderedPageBreak/>
        <w:t>its directive structures the agent’s deliberative field in a way that promotes fidelity to reasons the agent already endorses. Deference does not replace autonomy. It enables it under conditions of uncertainty, interdependence, and risk. A citizen who follows traffic regulations acts more autonomously, not less, because the rules allow her to act on her reasons for safety and coordination more effectively.</w:t>
      </w:r>
    </w:p>
    <w:p w14:paraId="30D0CEB5" w14:textId="77777777" w:rsidR="00E92157" w:rsidRDefault="00DD7E55" w:rsidP="00E92157">
      <w:pPr>
        <w:ind w:firstLine="720"/>
      </w:pPr>
      <w:r>
        <w:t>The same structure applies to political authority. When the state issues directives that genuinely help citizens act on reasons they already have, such as protecting life, securing fair cooperation, or maintaining public order, obedience enhances rather than diminishes autonomy. Conversely, when directives fail to reflect or advance those reasons, deference ceases to be autonomy-enhancing. A command that instructs citizens to discriminate unjustly, suppress dissent without justification, or violate core commitments cannot supply an exclusionary reason. In such cases, obedience no longer serves the agent’s reasons. Authority collapses into domination.</w:t>
      </w:r>
    </w:p>
    <w:p w14:paraId="0B7FB184" w14:textId="04435DD3" w:rsidR="00E92157" w:rsidRDefault="00DD7E55" w:rsidP="00E92157">
      <w:pPr>
        <w:ind w:firstLine="720"/>
      </w:pPr>
      <w:r>
        <w:t>This feature of Raz’s account marks an important departure from both anarchist and positivist positions. Against philosophical anarchism, Raz allows that authority can coexist with autonomy where it genuinely serves agents’ reasons.</w:t>
      </w:r>
      <w:r w:rsidR="00E92157">
        <w:rPr>
          <w:rStyle w:val="EndnoteReference"/>
        </w:rPr>
        <w:endnoteReference w:id="13"/>
      </w:r>
      <w:r>
        <w:t xml:space="preserve"> Against positivism, he insists that legality alone is insufficient to generate obligation: authoritative directives must be justified by their capacity to help subjects be better guided by reasons that already apply to them.</w:t>
      </w:r>
      <w:r w:rsidR="00E92157">
        <w:rPr>
          <w:rStyle w:val="EndnoteReference"/>
        </w:rPr>
        <w:endnoteReference w:id="14"/>
      </w:r>
      <w:r>
        <w:t xml:space="preserve"> Legitimacy on this view is a moral success condition rather than an institutional presumption. That is, authority is legitimate only where deference to its directives plausibly helps subjects act in accordance with reasons that already apply to them.</w:t>
      </w:r>
    </w:p>
    <w:p w14:paraId="21C0C1D6" w14:textId="3C258AE4" w:rsidR="00E92157" w:rsidRPr="0089364B" w:rsidRDefault="0089364B" w:rsidP="0089364B">
      <w:pPr>
        <w:ind w:firstLine="720"/>
        <w:rPr>
          <w:lang w:val="en-CA"/>
        </w:rPr>
      </w:pPr>
      <w:r w:rsidRPr="0089364B">
        <w:rPr>
          <w:lang w:val="en-CA"/>
        </w:rPr>
        <w:t>Understanding authority as autonomy-enabling clarifies the stakes of the Razian audit.</w:t>
      </w:r>
      <w:r>
        <w:rPr>
          <w:lang w:val="en-CA"/>
        </w:rPr>
        <w:t xml:space="preserve"> </w:t>
      </w:r>
      <w:r w:rsidR="00DD7E55">
        <w:t xml:space="preserve">The central question is not whether citizens consented to be governed, nor whether procedures were properly followed. It is whether deference to </w:t>
      </w:r>
      <w:proofErr w:type="gramStart"/>
      <w:r w:rsidR="00DD7E55">
        <w:t>particular directives</w:t>
      </w:r>
      <w:proofErr w:type="gramEnd"/>
      <w:r w:rsidR="00DD7E55">
        <w:t xml:space="preserve"> plausibly helps citizens act on reasons they already have. Where it does, authority is justified. Where it does not, autonomy reasserts itself through resistance, criticism, or refusal.</w:t>
      </w:r>
    </w:p>
    <w:p w14:paraId="54C7C16D" w14:textId="23A23B11" w:rsidR="00DD7E55" w:rsidRDefault="00DD7E55" w:rsidP="00E92157">
      <w:pPr>
        <w:ind w:firstLine="720"/>
      </w:pPr>
      <w:r>
        <w:t xml:space="preserve">This account prepares the ground for the case studies that follow. Public health mandates, protest restrictions, and secularism legislation each test different ways in which authority may succeed or fail in serving citizens’ reasons. They also reveal how autonomy can be either sustained or eroded through legal directives that claim pre-emptive force. The task of the next sections is to assess those claims </w:t>
      </w:r>
      <w:proofErr w:type="gramStart"/>
      <w:r>
        <w:t>in light of</w:t>
      </w:r>
      <w:proofErr w:type="gramEnd"/>
      <w:r>
        <w:t xml:space="preserve"> Raz’s demanding standard.</w:t>
      </w:r>
    </w:p>
    <w:p w14:paraId="0E5458E1" w14:textId="6FA20944" w:rsidR="00DD7E55" w:rsidRDefault="006C4799" w:rsidP="006C4799">
      <w:pPr>
        <w:ind w:firstLine="720"/>
        <w:rPr>
          <w:lang w:val="en-CA"/>
        </w:rPr>
      </w:pPr>
      <w:r w:rsidRPr="006C4799">
        <w:rPr>
          <w:lang w:val="en-CA"/>
        </w:rPr>
        <w:lastRenderedPageBreak/>
        <w:t>If authority is justified only where it satisfies the dependence and normal justification theses, then legitimacy cannot be presumed in the abstract but must be assessed in context. The following case studies examine domains in which the state claims pre-emptive authority under markedly different conditions, beginning with public health mandates during the COVID-19 pandemic</w:t>
      </w:r>
      <w:r>
        <w:rPr>
          <w:lang w:val="en-CA"/>
        </w:rPr>
        <w:t xml:space="preserve">, </w:t>
      </w:r>
      <w:r w:rsidRPr="006C4799">
        <w:rPr>
          <w:lang w:val="en-CA"/>
        </w:rPr>
        <w:t>a setting in which epistemic uncertainty, collective risk, and coordination problems make deference especially plausible.</w:t>
      </w:r>
    </w:p>
    <w:p w14:paraId="06C3F984" w14:textId="77777777" w:rsidR="006C4799" w:rsidRDefault="006C4799" w:rsidP="006C4799">
      <w:pPr>
        <w:ind w:firstLine="720"/>
      </w:pPr>
    </w:p>
    <w:p w14:paraId="54E260E4" w14:textId="77777777" w:rsidR="00DD7E55" w:rsidRDefault="00DD7E55" w:rsidP="00E92157">
      <w:pPr>
        <w:pStyle w:val="Heading2"/>
      </w:pPr>
      <w:r>
        <w:t>3. Public Health Mandates and Authority under Epistemic Uncertainty</w:t>
      </w:r>
    </w:p>
    <w:p w14:paraId="0BABEAAA" w14:textId="77777777" w:rsidR="00DD7E55" w:rsidRDefault="00DD7E55" w:rsidP="00DD7E55"/>
    <w:p w14:paraId="5D563B72" w14:textId="77777777" w:rsidR="00DD7E55" w:rsidRDefault="00DD7E55" w:rsidP="00E92157">
      <w:pPr>
        <w:ind w:firstLine="720"/>
      </w:pPr>
      <w:r>
        <w:t>Public health emergencies provide a particularly revealing context in which to test the service conception of authority. They combine three features that Raz identifies as central to justified deference: pervasive epistemic uncertainty, high stakes for collective welfare, and the need for coordinated action. If there are circumstances under which political authority plausibly serves rather than supplants citizens’ practical reasons, pandemic governance is among the strongest candidates.</w:t>
      </w:r>
    </w:p>
    <w:p w14:paraId="5FF85B29" w14:textId="77777777" w:rsidR="00DD7E55" w:rsidRDefault="00DD7E55" w:rsidP="00E92157">
      <w:pPr>
        <w:ind w:firstLine="720"/>
      </w:pPr>
      <w:r>
        <w:t>During the COVID-19 pandemic, governments issued a wide range of directives affecting movement, work, association, and bodily conduct. These measures were often criticized as coercive, intrusive, or incompatible with liberal freedoms. Yet from a Razian perspective, the central question is not whether such directives restricted liberty, but whether treating them as binding plausibly helped citizens better act on reasons that already applied to them. The relevant reasons include avoiding serious harm, protecting vulnerable populations, and sustaining the collective capacity of health systems.</w:t>
      </w:r>
    </w:p>
    <w:p w14:paraId="55CE18D2" w14:textId="77777777" w:rsidR="00DD7E55" w:rsidRDefault="00DD7E55" w:rsidP="00DD7E55"/>
    <w:p w14:paraId="5E9B23D4" w14:textId="77777777" w:rsidR="00DD7E55" w:rsidRDefault="00DD7E55" w:rsidP="00E92157">
      <w:pPr>
        <w:pStyle w:val="Heading2"/>
      </w:pPr>
      <w:r>
        <w:t>3.1 Coordination and the Dependence Thesis</w:t>
      </w:r>
    </w:p>
    <w:p w14:paraId="00BA594E" w14:textId="77777777" w:rsidR="00DD7E55" w:rsidRDefault="00DD7E55" w:rsidP="00DD7E55"/>
    <w:p w14:paraId="1B5850D9" w14:textId="77777777" w:rsidR="00E92157" w:rsidRDefault="00DD7E55" w:rsidP="00DD7E55">
      <w:r>
        <w:t>Public health mandates readily satisfy the dependence thesis, at least in principle. Individuals have independent reasons to avoid transmitting a dangerous virus, to protect others from serious illness, and to preserve the functioning of shared institutions such as hospitals. These reasons apply regardless of whether the state issues directives. In the absence of coordination, however, individuals acting on these reasons face serious collective action problems. One person’s restraint is ineffective if others do not act similarly. The benefit of precautions depends on widespread compliance.</w:t>
      </w:r>
    </w:p>
    <w:p w14:paraId="5CA1A830" w14:textId="4E4ACB50" w:rsidR="00E92157" w:rsidRDefault="00DD7E55" w:rsidP="001A09B9">
      <w:pPr>
        <w:ind w:firstLine="720"/>
      </w:pPr>
      <w:r>
        <w:lastRenderedPageBreak/>
        <w:t>Legal mandates concerning masking, distancing, or temporary restrictions on gatherings can therefore be understood as reflecting reasons that already apply to citizens, while also coordinating those reasons across a population. The directives do not create the underlying moral reasons. They organize them. In this respect, pandemic measures exemplify the kind of reason-dependence Raz identifies as a necessary condition of authority.</w:t>
      </w:r>
      <w:r w:rsidR="001A09B9">
        <w:t xml:space="preserve"> That citizens generally lack the epidemiological expertise required to assess transmission risk or evaluate the adequacy of health system capacity independently lends further support to the view that coordinated public directives reflected, rather than supplanted, reasons agents already had to protect themselves and others.</w:t>
      </w:r>
      <w:r w:rsidR="001A09B9">
        <w:rPr>
          <w:rStyle w:val="EndnoteReference"/>
        </w:rPr>
        <w:endnoteReference w:id="15"/>
      </w:r>
    </w:p>
    <w:p w14:paraId="785CC8A9" w14:textId="0E0E7B6C" w:rsidR="00DD7E55" w:rsidRDefault="00DD7E55" w:rsidP="00E92157">
      <w:pPr>
        <w:ind w:firstLine="720"/>
      </w:pPr>
      <w:r>
        <w:t>Importantly, this does not mean that every public health directive automatically satisfies the dependence thesis. Measures that were poorly targeted, excessively prolonged, or insufficiently connected to actual risk profiles raise legitimate questions about whether they continued to reflect subjects’ reasons over time. Still, at least during the early and uncertain phases of the pandemic, many directives plausibly tracked widely shared reasons to reduce harm and manage collective risk.</w:t>
      </w:r>
    </w:p>
    <w:p w14:paraId="1A8AF8DD" w14:textId="77777777" w:rsidR="00DD7E55" w:rsidRDefault="00DD7E55" w:rsidP="00DD7E55"/>
    <w:p w14:paraId="607A02EF" w14:textId="77777777" w:rsidR="00DD7E55" w:rsidRDefault="00DD7E55" w:rsidP="00E92157">
      <w:pPr>
        <w:pStyle w:val="Heading2"/>
      </w:pPr>
      <w:r>
        <w:t>3.2 Expertise, Uncertainty, and Normal Justification</w:t>
      </w:r>
    </w:p>
    <w:p w14:paraId="43CF840F" w14:textId="77777777" w:rsidR="00DD7E55" w:rsidRDefault="00DD7E55" w:rsidP="00DD7E55"/>
    <w:p w14:paraId="5D9B40FC" w14:textId="77777777" w:rsidR="00E92157" w:rsidRDefault="00DD7E55" w:rsidP="00E92157">
      <w:pPr>
        <w:ind w:firstLine="720"/>
      </w:pPr>
      <w:r>
        <w:t>The normal justification thesis is especially salient in conditions of epistemic uncertainty. Most citizens lack the expertise required to evaluate epidemiological data, model transmission dynamics, or assess the capacity of health systems. Acting independently on one’s reasons in such circumstances is likely to be less reliable than deferring to coordinated guidance issued by public authorities drawing on scientific expertise.</w:t>
      </w:r>
    </w:p>
    <w:p w14:paraId="75DD515A" w14:textId="77777777" w:rsidR="00E92157" w:rsidRDefault="00DD7E55" w:rsidP="00E92157">
      <w:pPr>
        <w:ind w:firstLine="720"/>
      </w:pPr>
      <w:r>
        <w:t>From a Razian perspective, this is precisely the circumstance in which deference can be autonomy-enhancing. Accepting public health directives as binding may enable individuals to better realize their own reasons to avoid harm and protect others than if they attempted to assess the situation independently.</w:t>
      </w:r>
    </w:p>
    <w:p w14:paraId="07348031" w14:textId="5D7BEA6D" w:rsidR="00DD7E55" w:rsidRDefault="00DD7E55" w:rsidP="00E92157">
      <w:pPr>
        <w:ind w:firstLine="720"/>
      </w:pPr>
      <w:r>
        <w:t xml:space="preserve">This does not imply that expertise alone justifies authority. The normal justification thesis requires that following the directive </w:t>
      </w:r>
      <w:proofErr w:type="gramStart"/>
      <w:r>
        <w:t>actually improves</w:t>
      </w:r>
      <w:proofErr w:type="gramEnd"/>
      <w:r>
        <w:t xml:space="preserve"> conformity to reasons. Where public health guidance was inconsistent, poorly communicated, or detached from emerging evidence, the justificatory force of mandates weakened. Still, the general structure of pandemic governance </w:t>
      </w:r>
      <w:r>
        <w:lastRenderedPageBreak/>
        <w:t>provides a clear illustration of how authority can satisfy Raz’s standard when it improves agents’ ability to act rightly under uncertainty.</w:t>
      </w:r>
    </w:p>
    <w:p w14:paraId="04267D92" w14:textId="77777777" w:rsidR="00DD7E55" w:rsidRDefault="00DD7E55" w:rsidP="00DD7E55"/>
    <w:p w14:paraId="53ABEC21" w14:textId="77777777" w:rsidR="00DD7E55" w:rsidRDefault="00DD7E55" w:rsidP="00E92157">
      <w:pPr>
        <w:pStyle w:val="Heading2"/>
      </w:pPr>
      <w:r>
        <w:t>3.3 Pre-emption and Temporary Compliance</w:t>
      </w:r>
    </w:p>
    <w:p w14:paraId="058EA0A2" w14:textId="77777777" w:rsidR="00DD7E55" w:rsidRDefault="00DD7E55" w:rsidP="00DD7E55"/>
    <w:p w14:paraId="6E6C292A" w14:textId="77777777" w:rsidR="00E92157" w:rsidRDefault="00DD7E55" w:rsidP="00E92157">
      <w:pPr>
        <w:ind w:firstLine="720"/>
      </w:pPr>
      <w:r>
        <w:t xml:space="preserve">Where both the dependence and normal justification theses are plausibly satisfied, public health directives acquire pre-emptive force. Citizens are not required to re-deliberate about the permissibility of each action </w:t>
      </w:r>
      <w:proofErr w:type="gramStart"/>
      <w:r>
        <w:t>in light of</w:t>
      </w:r>
      <w:proofErr w:type="gramEnd"/>
      <w:r>
        <w:t xml:space="preserve"> first-order reasons. They are justified in treating the directive itself as a reason not to act on competing considerations, such as convenience or personal preference.</w:t>
      </w:r>
    </w:p>
    <w:p w14:paraId="26527DDB" w14:textId="09DB658F" w:rsidR="00E92157" w:rsidRPr="00C82C53" w:rsidRDefault="00DD7E55" w:rsidP="00C82C53">
      <w:pPr>
        <w:ind w:firstLine="720"/>
        <w:rPr>
          <w:lang w:val="en-CA"/>
        </w:rPr>
      </w:pPr>
      <w:r>
        <w:t xml:space="preserve">Crucially, pre-emptive force in this case is conditional and temporary. </w:t>
      </w:r>
      <w:r w:rsidR="00C82C53" w:rsidRPr="00C82C53">
        <w:rPr>
          <w:lang w:val="en-CA"/>
        </w:rPr>
        <w:t>As evidence evolves, risks change, and coordination problems diminish, the reasons that justified deference may weaken or disappear. A Razian account therefore demands continuous reassessment</w:t>
      </w:r>
      <w:r w:rsidR="00C82C53">
        <w:rPr>
          <w:lang w:val="en-CA"/>
        </w:rPr>
        <w:t xml:space="preserve"> </w:t>
      </w:r>
      <w:r>
        <w:t>of whether directives continue to serve subjects’ reasons. When they no longer do so, their claim to pre-emptive authority lapses, even if their legal validity remains intact.</w:t>
      </w:r>
    </w:p>
    <w:p w14:paraId="7062C63F" w14:textId="6FBC4FE9" w:rsidR="00DD7E55" w:rsidRDefault="00DD7E55" w:rsidP="00E92157">
      <w:pPr>
        <w:ind w:firstLine="720"/>
      </w:pPr>
      <w:r>
        <w:t>This feature helps explain both compliance and resistance during the pandemic. Early acceptance of sweeping measures can be consistent with autonomy where deference genuinely improved agents’ conformity to reasons. Later skepticism, especially where mandates appeared misaligned with local conditions or individual risk, may reflect a reassessment of whether the normal justification thesis continued to hold. Raz’s framework accommodates both responses without collapsing into either authoritarianism or libertarian skepticism.</w:t>
      </w:r>
    </w:p>
    <w:p w14:paraId="185C48D7" w14:textId="77777777" w:rsidR="00DD7E55" w:rsidRDefault="00DD7E55" w:rsidP="00DD7E55"/>
    <w:p w14:paraId="27630D70" w14:textId="77777777" w:rsidR="00DD7E55" w:rsidRDefault="00DD7E55" w:rsidP="00E92157">
      <w:pPr>
        <w:pStyle w:val="Heading2"/>
      </w:pPr>
      <w:r>
        <w:t>3.4 Pandemic Governance as a Benchmark Case</w:t>
      </w:r>
    </w:p>
    <w:p w14:paraId="1E075768" w14:textId="77777777" w:rsidR="00DD7E55" w:rsidRDefault="00DD7E55" w:rsidP="00DD7E55"/>
    <w:p w14:paraId="3B8FE76A" w14:textId="7DB7FC6F" w:rsidR="0089364B" w:rsidRPr="003762CF" w:rsidRDefault="0089364B" w:rsidP="003762CF">
      <w:pPr>
        <w:ind w:firstLine="720"/>
        <w:rPr>
          <w:lang w:val="en-CA"/>
        </w:rPr>
      </w:pPr>
      <w:r>
        <w:t xml:space="preserve">Public health mandates therefore function as a benchmark case for Razian authority. </w:t>
      </w:r>
      <w:r w:rsidR="003762CF" w:rsidRPr="003762CF">
        <w:rPr>
          <w:lang w:val="en-CA"/>
        </w:rPr>
        <w:t>They illustrate how political power can satisfy demanding justificatory standards, while revealing how fragile that legitimacy is</w:t>
      </w:r>
      <w:r>
        <w:t xml:space="preserve">. </w:t>
      </w:r>
    </w:p>
    <w:p w14:paraId="32818B8F" w14:textId="77777777" w:rsidR="0089364B" w:rsidRDefault="0089364B" w:rsidP="0089364B">
      <w:pPr>
        <w:ind w:firstLine="720"/>
      </w:pPr>
      <w:r>
        <w:t>If authority struggles to justify itself even in contexts of epistemic uncertainty and shared vulnerability, its claims in other domains warrant heightened scrutiny. Protest restrictions and secularism legislation lack the same coordination pressures and epistemic asymmetries. Their justificatory burdens are therefore heavier.</w:t>
      </w:r>
    </w:p>
    <w:p w14:paraId="002C7523" w14:textId="270629E2" w:rsidR="00DD7E55" w:rsidRDefault="00DD7E55" w:rsidP="0089364B">
      <w:pPr>
        <w:ind w:firstLine="720"/>
      </w:pPr>
      <w:r>
        <w:lastRenderedPageBreak/>
        <w:t>The next sections examine whether state directives in these domains can plausibly be said to serve citizens’ reasons in the way public health mandates sometimes did. The contrast will reveal not only the promise of Raz’s service conception, but also the limits of legitimate authority in pluralistic liberal democracies.</w:t>
      </w:r>
    </w:p>
    <w:p w14:paraId="44965FEF" w14:textId="77777777" w:rsidR="00DD7E55" w:rsidRDefault="00DD7E55" w:rsidP="00DD7E55"/>
    <w:p w14:paraId="57EB31B6" w14:textId="77777777" w:rsidR="00DD7E55" w:rsidRDefault="00DD7E55" w:rsidP="00E92157">
      <w:pPr>
        <w:pStyle w:val="Heading2"/>
      </w:pPr>
      <w:r>
        <w:t>4. Anti-Protest Laws and the Limits of Razian Authority</w:t>
      </w:r>
    </w:p>
    <w:p w14:paraId="74DEEBD4" w14:textId="77777777" w:rsidR="00DD7E55" w:rsidRDefault="00DD7E55" w:rsidP="00DD7E55"/>
    <w:p w14:paraId="0BEBE30F" w14:textId="77777777" w:rsidR="00E92157" w:rsidRDefault="00DD7E55" w:rsidP="00E92157">
      <w:pPr>
        <w:ind w:firstLine="720"/>
      </w:pPr>
      <w:r>
        <w:t>If public health mandates represent a strong candidate for justified authority under conditions of uncertainty and collective risk, restrictions on political protest present a markedly different case. Protest regulation does not primarily concern coordination problems or reliance on specialized expertise. It concerns dissent, contestation, and the public articulation of reasons. For that reason, the justificatory burden faced by the state is both different and, in many respects, more demanding</w:t>
      </w:r>
      <w:r w:rsidR="00E92157">
        <w:t>.</w:t>
      </w:r>
    </w:p>
    <w:p w14:paraId="66DF05B8" w14:textId="10BDF7AA" w:rsidR="00BD7D6C" w:rsidRDefault="00BD7D6C" w:rsidP="00E92157">
      <w:pPr>
        <w:ind w:firstLine="720"/>
      </w:pPr>
      <w:r>
        <w:t>Recent legislative examples illustrate this trend: the United Kingdom's Police, Crime, Sentencing and Courts Act 2022 expanded police powers to restrict protests causing noise-based disruption to nearby organizations, while Alberta's Critical Infrastructure Defence Act 2020 criminalized interference with broadly defined essential infrastructure in direct response to Indigenous-led environmental protest.</w:t>
      </w:r>
      <w:r>
        <w:rPr>
          <w:rStyle w:val="EndnoteReference"/>
        </w:rPr>
        <w:endnoteReference w:id="16"/>
      </w:r>
      <w:r>
        <w:t xml:space="preserve"> </w:t>
      </w:r>
    </w:p>
    <w:p w14:paraId="57A42112" w14:textId="77777777" w:rsidR="00DD7E55" w:rsidRDefault="00DD7E55" w:rsidP="00DD7E55"/>
    <w:p w14:paraId="4E95A46D" w14:textId="77777777" w:rsidR="00DD7E55" w:rsidRDefault="00DD7E55" w:rsidP="00E92157">
      <w:pPr>
        <w:pStyle w:val="Heading2"/>
      </w:pPr>
      <w:r>
        <w:t>4.1 Protest and the Dependence Thesis</w:t>
      </w:r>
    </w:p>
    <w:p w14:paraId="5DD1D139" w14:textId="77777777" w:rsidR="00DD7E55" w:rsidRDefault="00DD7E55" w:rsidP="00DD7E55"/>
    <w:p w14:paraId="17E2E8D5" w14:textId="77777777" w:rsidR="00E92157" w:rsidRDefault="00DD7E55" w:rsidP="00E92157">
      <w:pPr>
        <w:ind w:firstLine="720"/>
      </w:pPr>
      <w:r>
        <w:t>The dependence thesis requires that authoritative directives reflect reasons that already apply to their subjects. In the context of protest regulation, the relevant reasons include preventing serious harm, protecting public safety, and maintaining basic social order. These are genuine and weighty considerations. A Razian account does not deny that states may sometimes restrict protest to prevent violence, ensure access to essential services, or avert imminent danger.</w:t>
      </w:r>
    </w:p>
    <w:p w14:paraId="5E63A825" w14:textId="77777777" w:rsidR="00E92157" w:rsidRDefault="00DD7E55" w:rsidP="00E92157">
      <w:pPr>
        <w:ind w:firstLine="720"/>
      </w:pPr>
      <w:r>
        <w:t>However, many contemporary anti-protest laws extend well beyond these narrow aims. By targeting disruption as such, rather than harm, they fail to reflect the full range of reasons that apply to citizens. Political protest is not merely a tolerated inconvenience. It is a central mechanism through which citizens articulate grievances, contest policies, and call attention to failures of justification. Individuals therefore have independent reasons to engage in protest, particularly where ordinary channels of influence appear ineffective or unresponsive.</w:t>
      </w:r>
    </w:p>
    <w:p w14:paraId="04343A9B" w14:textId="19F253CC" w:rsidR="00DD7E55" w:rsidRDefault="00DD7E55" w:rsidP="00816176">
      <w:pPr>
        <w:ind w:firstLine="720"/>
      </w:pPr>
      <w:r>
        <w:lastRenderedPageBreak/>
        <w:t xml:space="preserve">When legal directives treat disruption itself as a sufficient ground for suppression, they risk misrepresenting citizens’ normative situation. The inconvenience caused by protest does not, on its own, outweigh the reasons individuals </w:t>
      </w:r>
      <w:proofErr w:type="gramStart"/>
      <w:r>
        <w:t>have to</w:t>
      </w:r>
      <w:proofErr w:type="gramEnd"/>
      <w:r>
        <w:t xml:space="preserve"> engage in collective dissent. Where the law reflects only reasons of order and efficiency while ignoring reasons of political agency and accountability, it fails the dependence thesis. The directive no longer tracks the reasons that apply to subjects in their role as citizens.</w:t>
      </w:r>
    </w:p>
    <w:p w14:paraId="1DF35681" w14:textId="77777777" w:rsidR="00816176" w:rsidRDefault="00816176" w:rsidP="00816176">
      <w:pPr>
        <w:ind w:firstLine="720"/>
      </w:pPr>
    </w:p>
    <w:p w14:paraId="62B90F71" w14:textId="77777777" w:rsidR="00DD7E55" w:rsidRDefault="00DD7E55" w:rsidP="00E92157">
      <w:pPr>
        <w:pStyle w:val="Heading2"/>
      </w:pPr>
      <w:r>
        <w:t>4.2 Normal Justification and the Problem of Dissent</w:t>
      </w:r>
    </w:p>
    <w:p w14:paraId="709258A9" w14:textId="77777777" w:rsidR="00DD7E55" w:rsidRDefault="00DD7E55" w:rsidP="00DD7E55"/>
    <w:p w14:paraId="64C7D874" w14:textId="77777777" w:rsidR="00816176" w:rsidRPr="00816176" w:rsidRDefault="00816176" w:rsidP="00816176">
      <w:pPr>
        <w:ind w:firstLine="720"/>
        <w:rPr>
          <w:lang w:val="en-CA"/>
        </w:rPr>
      </w:pPr>
      <w:r w:rsidRPr="00816176">
        <w:rPr>
          <w:lang w:val="en-CA"/>
        </w:rPr>
        <w:t>A defender of protest regulation might grant that citizens have reasons to dissent while insisting that they also have reasons to preserve coordination, economic stability, and the equal freedom of others. Where protest tactics impose substantial third-party burdens—blocking infrastructure, disrupting essential services, or generating risk—restrictions may plausibly track those antecedent reasons. The harder question, however, is whether deference to such restrictions reliably improves citizens’ conformity to their reasons in contexts where protest is itself a contestation of the justificatory order. In such cases, obedience may preserve order without serving citizens’ political reasons; it may foreclose the very agency whose exercise is part of the reason-giving structure of dissent.</w:t>
      </w:r>
    </w:p>
    <w:p w14:paraId="696AC5E0" w14:textId="77777777" w:rsidR="00E92157" w:rsidRDefault="00DD7E55" w:rsidP="00E92157">
      <w:pPr>
        <w:ind w:firstLine="720"/>
      </w:pPr>
      <w:r>
        <w:t xml:space="preserve">The normal justification thesis asks whether accepting a directive as binding helps subjects better act on their own reasons. In the case of protest restrictions, this condition is rarely met. Citizens are generally well placed to judge whether and how to express dissent </w:t>
      </w:r>
      <w:proofErr w:type="gramStart"/>
      <w:r>
        <w:t>in light of</w:t>
      </w:r>
      <w:proofErr w:type="gramEnd"/>
      <w:r>
        <w:t xml:space="preserve"> their commitments, grievances, and risk tolerance. Unlike epidemiological modelling or emergency coordination, protest does not require specialized expertise that the state is uniquely positioned to supply.</w:t>
      </w:r>
    </w:p>
    <w:p w14:paraId="1618635E" w14:textId="48FD877E" w:rsidR="00E92157" w:rsidRDefault="00DD7E55" w:rsidP="00E92157">
      <w:pPr>
        <w:ind w:firstLine="720"/>
      </w:pPr>
      <w:r>
        <w:t xml:space="preserve">More importantly, suppressing protest often undermines rather than enhances citizens’ ability to act on their reasons. When legal restrictions deter public assembly, limit expressive conduct, or impose severe penalties for nonviolent disruption, they do not guide citizens toward better action </w:t>
      </w:r>
      <w:proofErr w:type="gramStart"/>
      <w:r>
        <w:t>in light of</w:t>
      </w:r>
      <w:proofErr w:type="gramEnd"/>
      <w:r>
        <w:t xml:space="preserve"> those reasons. They obstruct the exercise of political judgment itself. Deference in such cases does not improve practical reasoning. It disables it.</w:t>
      </w:r>
    </w:p>
    <w:p w14:paraId="2B153328" w14:textId="5B05A82D" w:rsidR="00DD7E55" w:rsidRDefault="00DD7E55" w:rsidP="00E92157">
      <w:pPr>
        <w:ind w:firstLine="720"/>
      </w:pPr>
      <w:r>
        <w:t xml:space="preserve">From a Razian perspective, this is decisive. Where obedience to a directive makes it less likely that citizens can act on their reasons, the normal justification thesis fails. The state’s claim </w:t>
      </w:r>
      <w:r>
        <w:lastRenderedPageBreak/>
        <w:t>to authority collapses not because protest</w:t>
      </w:r>
      <w:r w:rsidR="003C3CB0">
        <w:t>e</w:t>
      </w:r>
      <w:r>
        <w:t>rs reject lawfulness, but because the law no longer serves the reasons that justify political obedience in the first place.</w:t>
      </w:r>
    </w:p>
    <w:p w14:paraId="67585CD2" w14:textId="77777777" w:rsidR="00DD7E55" w:rsidRDefault="00DD7E55" w:rsidP="00DD7E55"/>
    <w:p w14:paraId="43EDD595" w14:textId="77777777" w:rsidR="00DD7E55" w:rsidRDefault="00DD7E55" w:rsidP="00E92157">
      <w:pPr>
        <w:pStyle w:val="Heading2"/>
      </w:pPr>
      <w:r>
        <w:t>4.3 Pre-emption and the Pathology of Compliance</w:t>
      </w:r>
    </w:p>
    <w:p w14:paraId="1627812F" w14:textId="77777777" w:rsidR="00DD7E55" w:rsidRDefault="00DD7E55" w:rsidP="00DD7E55"/>
    <w:p w14:paraId="4ED042F0" w14:textId="77777777" w:rsidR="00E92157" w:rsidRDefault="00DD7E55" w:rsidP="00E92157">
      <w:pPr>
        <w:ind w:firstLine="720"/>
      </w:pPr>
      <w:r>
        <w:t>Anti-protest laws also illustrate a pathological use of pre-emptive authority. Such laws often claim exclusionary force by instructing citizens not to deliberate further about the permissibility of dissent. The directive does not merely regulate the manner of protest. It aims to displace deliberation about whether protest is justified at all.</w:t>
      </w:r>
    </w:p>
    <w:p w14:paraId="1232BD82" w14:textId="6EB96573" w:rsidR="00E92157" w:rsidRDefault="00DD7E55" w:rsidP="00E92157">
      <w:pPr>
        <w:ind w:firstLine="720"/>
      </w:pPr>
      <w:r>
        <w:t xml:space="preserve">This pre-emptive claim is especially problematic. </w:t>
      </w:r>
      <w:r w:rsidR="003762CF" w:rsidRPr="003762CF">
        <w:t>Political protest is a primary means by which citizens contest authority’s justificatory burden</w:t>
      </w:r>
      <w:r>
        <w:t>. To treat protest itself as a matter for pre-emptive exclusion is to short-circuit the very processes through which legitimacy is assessed and renewed. Authority, in this context, becomes self-insulating rather than reason-serving.</w:t>
      </w:r>
    </w:p>
    <w:p w14:paraId="080959D1" w14:textId="191693D9" w:rsidR="00DD7E55" w:rsidRDefault="00DD7E55" w:rsidP="00E92157">
      <w:pPr>
        <w:ind w:firstLine="720"/>
      </w:pPr>
      <w:r>
        <w:t>Raz’s framework makes clear that exclusionary reasons are justified only where authority genuinely improves conformity to reasons. Where pre-emption functions instead to suppress contestation, it loses its normative force. The law may still compel compliance through sanctions, but it no longer generates an obligation to obey. Authority gives way to domination.</w:t>
      </w:r>
    </w:p>
    <w:p w14:paraId="69C7620B" w14:textId="77777777" w:rsidR="00DD7E55" w:rsidRDefault="00DD7E55" w:rsidP="00DD7E55"/>
    <w:p w14:paraId="210925E7" w14:textId="77777777" w:rsidR="00DD7E55" w:rsidRDefault="00DD7E55" w:rsidP="00E92157">
      <w:pPr>
        <w:pStyle w:val="Heading2"/>
      </w:pPr>
      <w:r>
        <w:t>4.4 Protest, Legitimacy, and Democratic Repair</w:t>
      </w:r>
    </w:p>
    <w:p w14:paraId="76FFC397" w14:textId="77777777" w:rsidR="00DD7E55" w:rsidRDefault="00DD7E55" w:rsidP="00DD7E55"/>
    <w:p w14:paraId="70DF51DB" w14:textId="417A5EDD" w:rsidR="00E92157" w:rsidRDefault="00DD7E55" w:rsidP="00E92157">
      <w:pPr>
        <w:ind w:firstLine="720"/>
      </w:pPr>
      <w:r>
        <w:t>Anti-protest laws thus expose a structural tension within liberal democracies. States seek to preserve order and stability, yet protest is often a response to perceived failures of justification within existing institutions.</w:t>
      </w:r>
    </w:p>
    <w:p w14:paraId="7C338EF7" w14:textId="77777777" w:rsidR="00E92157" w:rsidRDefault="00DD7E55" w:rsidP="00E92157">
      <w:pPr>
        <w:ind w:firstLine="720"/>
      </w:pPr>
      <w:r>
        <w:t>By restricting protest without demonstrating how such restrictions serve citizens’ own reasons, states risk accelerating the very legitimacy deficits they aim to contain. The result is a feedback loop in which legal power is increasingly asserted while moral authority steadily erodes. Compliance may persist, but it does so without the justificatory support that distinguishes authority from coercion.</w:t>
      </w:r>
    </w:p>
    <w:p w14:paraId="71D446E8" w14:textId="77777777" w:rsidR="00E92157" w:rsidRDefault="00DD7E55" w:rsidP="00E92157">
      <w:pPr>
        <w:ind w:firstLine="720"/>
      </w:pPr>
      <w:r>
        <w:t>This analysis does not imply that all protest regulation is illegitimate. Narrow, proportionate restrictions aimed at preventing serious harm may satisfy Raz’s criteria. What it does imply is that broad, punitive, or preventive restrictions on dissent face an exceptionally high justificatory burden. In most cases, that burden is not met.</w:t>
      </w:r>
    </w:p>
    <w:p w14:paraId="277630C8" w14:textId="77777777" w:rsidR="0089364B" w:rsidRDefault="0089364B" w:rsidP="0089364B">
      <w:pPr>
        <w:ind w:firstLine="720"/>
      </w:pPr>
      <w:r>
        <w:lastRenderedPageBreak/>
        <w:t>The contrast with public health mandates is instructive. Pandemic governance can sometimes enhance autonomy by coordinating action under uncertainty. Protest restrictions more often undermine it by foreclosing avenues of political judgment and expression. The Razian audit therefore yields a stark conclusion: in the domain of protest, liberal democratic states frequently exercise power without authority.</w:t>
      </w:r>
    </w:p>
    <w:p w14:paraId="1F5B3BB6" w14:textId="7D430AF9" w:rsidR="00DD7E55" w:rsidRDefault="0089364B" w:rsidP="0089364B">
      <w:pPr>
        <w:ind w:firstLine="720"/>
      </w:pPr>
      <w:r>
        <w:t>The final case study turns to a more complex challenge, the regulation of religious expression under conditions of deep ethical pluralism. Quebec’s secularism legislation raises questions not only about dissent, but about whether the state can plausibly claim to serve citizens’ reasons when those reasons are identity-constitutive and incommensurable.</w:t>
      </w:r>
    </w:p>
    <w:p w14:paraId="5A5B59C3" w14:textId="77777777" w:rsidR="0089364B" w:rsidRDefault="0089364B" w:rsidP="0089364B">
      <w:pPr>
        <w:ind w:firstLine="720"/>
      </w:pPr>
    </w:p>
    <w:p w14:paraId="0A0E8452" w14:textId="77777777" w:rsidR="00DD7E55" w:rsidRDefault="00DD7E55" w:rsidP="00E92157">
      <w:pPr>
        <w:pStyle w:val="Heading2"/>
      </w:pPr>
      <w:r>
        <w:t>5. Secularism, Pluralism, and the Limits of Reason-Serving Authority</w:t>
      </w:r>
    </w:p>
    <w:p w14:paraId="69F6F10A" w14:textId="77777777" w:rsidR="00DD7E55" w:rsidRDefault="00DD7E55" w:rsidP="00DD7E55"/>
    <w:p w14:paraId="55A42152" w14:textId="1EC80F54" w:rsidR="00DD7E55" w:rsidRDefault="00DD7E55" w:rsidP="00E92157">
      <w:pPr>
        <w:ind w:firstLine="720"/>
      </w:pPr>
      <w:r>
        <w:t>Quebec’s secularism legislation, commonly known as Bill 21 (An Act respecting the laicity of the State)</w:t>
      </w:r>
      <w:r w:rsidR="007D1E29">
        <w:rPr>
          <w:rStyle w:val="EndnoteReference"/>
        </w:rPr>
        <w:endnoteReference w:id="17"/>
      </w:r>
      <w:r>
        <w:t>, presents a more complex challenge for political authority than either public-health mandates or protest restrictions. Unlike pandemic governance, it does not primarily concern epistemic uncertainty or collective risk.</w:t>
      </w:r>
      <w:r w:rsidR="007D1E29">
        <w:rPr>
          <w:rStyle w:val="EndnoteReference"/>
        </w:rPr>
        <w:endnoteReference w:id="18"/>
      </w:r>
      <w:r>
        <w:t xml:space="preserve"> Unlike protest regulation, it does not target dissent as such. Instead, it regulates the public expression of religious commitment by certain categories of state employees, thereby raising foundational questions about whether political authority can plausibly claim to serve citizens’ reasons under conditions of deep ethical and religious pluralism.</w:t>
      </w:r>
      <w:r w:rsidR="007D1E29">
        <w:rPr>
          <w:rStyle w:val="EndnoteReference"/>
        </w:rPr>
        <w:endnoteReference w:id="19"/>
      </w:r>
      <w:r w:rsidR="007D1E29">
        <w:t xml:space="preserve"> </w:t>
      </w:r>
      <w:r>
        <w:t>Enacted in 2019, Bill 21 prohibits many public-sector workers—including teachers, judges, prosecutors, and police officers—from wearing visible religious symbols while exercising their professional functions.</w:t>
      </w:r>
      <w:r w:rsidR="007D1E29">
        <w:rPr>
          <w:rStyle w:val="EndnoteReference"/>
        </w:rPr>
        <w:endnoteReference w:id="20"/>
      </w:r>
      <w:r>
        <w:t xml:space="preserve"> The law is defended by the Quebec government in the language of state neutrality, institutional secularism (laïcité), and civic equality.</w:t>
      </w:r>
      <w:r w:rsidR="007D1E29">
        <w:rPr>
          <w:rStyle w:val="EndnoteReference"/>
        </w:rPr>
        <w:endnoteReference w:id="21"/>
      </w:r>
      <w:r>
        <w:t xml:space="preserve"> Its critics argue that it disproportionately burdens religious minorities, restricts freedom of conscience and religion, and undermines equal access to public employment, particularly for Muslim women who wear the hijab.</w:t>
      </w:r>
      <w:r w:rsidR="007D1E29">
        <w:rPr>
          <w:rStyle w:val="EndnoteReference"/>
        </w:rPr>
        <w:endnoteReference w:id="22"/>
      </w:r>
    </w:p>
    <w:p w14:paraId="372C783D" w14:textId="43BEEF7F" w:rsidR="00DD7E55" w:rsidRDefault="00DD7E55" w:rsidP="00E92157">
      <w:pPr>
        <w:ind w:firstLine="720"/>
      </w:pPr>
      <w:r>
        <w:t>From a Razian perspective, the task is not to adjudicate these constitutional or moral disputes directly, but to ask whether the law can satisfy the conditions of legitimate authority. The question is whether restricting religious expression in this way plausibly helps affected citizens better conform to reasons that already apply to them, or whether the law instead substitutes a contested moral vision for agents’ own deliberative judgments.</w:t>
      </w:r>
      <w:r w:rsidR="007D1E29">
        <w:rPr>
          <w:rStyle w:val="EndnoteReference"/>
        </w:rPr>
        <w:endnoteReference w:id="23"/>
      </w:r>
      <w:r>
        <w:t xml:space="preserve"> Where reasonable </w:t>
      </w:r>
      <w:r>
        <w:lastRenderedPageBreak/>
        <w:t>citizens disagree not merely about policy means but about the very reasons at issue, the service conception places pressure on claims of pre-emptive authority, even where legal validity is secure</w:t>
      </w:r>
      <w:r w:rsidR="007D1E29">
        <w:t>.</w:t>
      </w:r>
      <w:r w:rsidR="007D1E29">
        <w:rPr>
          <w:rStyle w:val="EndnoteReference"/>
        </w:rPr>
        <w:endnoteReference w:id="24"/>
      </w:r>
    </w:p>
    <w:p w14:paraId="400D976C" w14:textId="77777777" w:rsidR="00DD7E55" w:rsidRDefault="00DD7E55" w:rsidP="00DD7E55"/>
    <w:p w14:paraId="6476ED36" w14:textId="77777777" w:rsidR="00DD7E55" w:rsidRDefault="00DD7E55" w:rsidP="007D1E29">
      <w:pPr>
        <w:pStyle w:val="Heading2"/>
      </w:pPr>
      <w:r>
        <w:t>5.1 The Dependence Thesis and Identity-Constitutive Reasons</w:t>
      </w:r>
    </w:p>
    <w:p w14:paraId="41772ECC" w14:textId="77777777" w:rsidR="00DD7E55" w:rsidRDefault="00DD7E55" w:rsidP="00DD7E55"/>
    <w:p w14:paraId="5B918CC6" w14:textId="77777777" w:rsidR="007D1E29" w:rsidRDefault="00DD7E55" w:rsidP="007D1E29">
      <w:pPr>
        <w:ind w:firstLine="720"/>
      </w:pPr>
      <w:r>
        <w:t>The dependence thesis requires that authoritative directives reflect reasons that already apply to their subjects. In the case of Bill 21, the relevant reasons are complex and often conflicting. On one side are reasons associated with institutional neutrality, public trust, and the symbolic separation of religion and state. On the other side are reasons grounded in freedom of conscience, religious integrity, and equal participation in civic life.</w:t>
      </w:r>
    </w:p>
    <w:p w14:paraId="3CBF0AF3" w14:textId="77777777" w:rsidR="007D1E29" w:rsidRDefault="00DD7E55" w:rsidP="007D1E29">
      <w:pPr>
        <w:ind w:firstLine="720"/>
      </w:pPr>
      <w:r>
        <w:t>What distinguishes this case from earlier ones is that many of the reasons involved are not merely instrumental. For affected individuals, religious practices and symbols are often identity-constitutive. They are not easily weighed against competing considerations in the manner of preferences or prudential interests. To require individuals to set aside such commitments as a condition of public employment is not simply to regulate conduct. It is to demand a form of ethical compartmentalization that may conflict with their deepest reasons for action.</w:t>
      </w:r>
    </w:p>
    <w:p w14:paraId="2E5BF1DB" w14:textId="77777777" w:rsidR="007D1E29" w:rsidRDefault="00DD7E55" w:rsidP="007D1E29">
      <w:pPr>
        <w:ind w:firstLine="720"/>
      </w:pPr>
      <w:r>
        <w:t>This poses a serious challenge for the dependence thesis. A directive that purports to reflect citizens’ reasons must engage with the full normative landscape those citizens inhabit. Where a law recognizes only reasons associated with state symbolism while discounting or marginalizing reasons of conscience and identity, it risks misrepresenting the reasons that apply to its subjects. In such cases, the directive does not merely prioritize some reasons over others. It denies the normative status of reasons that are central to individuals’ practical identity.</w:t>
      </w:r>
    </w:p>
    <w:p w14:paraId="2120BFB6" w14:textId="7FBA6FB2" w:rsidR="00DD7E55" w:rsidRDefault="00DD7E55" w:rsidP="007D1E29">
      <w:pPr>
        <w:ind w:firstLine="720"/>
      </w:pPr>
      <w:r>
        <w:t>From a Razian standpoint, this is problematic. Authority depends on service to reasons that already apply. Where the state treats certain reasons as inadmissible or unacknowledged, its claim to authority weakens accordingly.</w:t>
      </w:r>
    </w:p>
    <w:p w14:paraId="00676BF5" w14:textId="77777777" w:rsidR="00DD7E55" w:rsidRDefault="00DD7E55" w:rsidP="00DD7E55"/>
    <w:p w14:paraId="1AA54A62" w14:textId="77777777" w:rsidR="00DD7E55" w:rsidRDefault="00DD7E55" w:rsidP="007D1E29">
      <w:pPr>
        <w:pStyle w:val="Heading2"/>
      </w:pPr>
      <w:r>
        <w:t>5.2 Normal Justification and the Incommensurability Problem</w:t>
      </w:r>
    </w:p>
    <w:p w14:paraId="522343CE" w14:textId="77777777" w:rsidR="00DD7E55" w:rsidRDefault="00DD7E55" w:rsidP="00DD7E55"/>
    <w:p w14:paraId="60E11381" w14:textId="503A5BEC" w:rsidR="007D1E29" w:rsidRDefault="00DD7E55" w:rsidP="003762CF">
      <w:pPr>
        <w:ind w:firstLine="720"/>
      </w:pPr>
      <w:r>
        <w:t xml:space="preserve">The normal justification thesis asks whether treating a directive as binding helps subjects better act on their reasons. In the context of Bill 21, this condition is difficult to satisfy. For many </w:t>
      </w:r>
      <w:r>
        <w:lastRenderedPageBreak/>
        <w:t>affected individuals, compliance with the law does not enable better conformity to their reasons. It forces a trade-off between civic participation and ethical integrity.</w:t>
      </w:r>
      <w:r w:rsidR="003762CF">
        <w:t xml:space="preserve"> </w:t>
      </w:r>
      <w:r>
        <w:t>Unlike pandemic mandates, the state does not possess superior epistemic access to the reasons at stake. The reasons involved are not primarily technical or collective. They are personal, ethical, and often incommensurable. Deference in such circumstances does not improve practical reasoning. It displaces it.</w:t>
      </w:r>
    </w:p>
    <w:p w14:paraId="0B0DA633" w14:textId="6A1E9228" w:rsidR="007D1E29" w:rsidRPr="00F350C1" w:rsidRDefault="00DD7E55" w:rsidP="00F350C1">
      <w:pPr>
        <w:ind w:firstLine="720"/>
        <w:rPr>
          <w:lang w:val="en-CA"/>
        </w:rPr>
      </w:pPr>
      <w:r>
        <w:t xml:space="preserve">This reveals a structural limitation of authority in pluralistic contexts. Where citizens’ reasons diverge in ways that cannot be reconciled through coordination or expertise, the state’s ability to justify pre-emptive directives diminishes. </w:t>
      </w:r>
      <w:r w:rsidR="00F350C1" w:rsidRPr="00F350C1">
        <w:rPr>
          <w:lang w:val="en-CA"/>
        </w:rPr>
        <w:t>Authority cannot function as a service where no common basis exists on which deference could improve conformity to reasons.</w:t>
      </w:r>
    </w:p>
    <w:p w14:paraId="69AAFD7F" w14:textId="6289F7EF" w:rsidR="0089364B" w:rsidRDefault="0089364B" w:rsidP="0089364B">
      <w:pPr>
        <w:ind w:firstLine="720"/>
      </w:pPr>
      <w:r>
        <w:t>From a Razian perspective, this does not imply that the state must accommodate all practices without limit. It does imply that claims to authority are weakest where directives impose uniformity on domains of ethical life that resist standardization. In such cases, the justificatory burden is especially heavy, and Bill 21 struggles to meet it.</w:t>
      </w:r>
    </w:p>
    <w:p w14:paraId="220DC97C" w14:textId="5FCBE918" w:rsidR="00DD7E55" w:rsidRDefault="0089364B" w:rsidP="0089364B">
      <w:pPr>
        <w:ind w:firstLine="720"/>
      </w:pPr>
      <w:r>
        <w:t>The difficulty may run deeper than a misapplication of Raz’s criteria. The service conception presupposes sufficient normative overlap for deference to improve conformity to reasons. In contexts of identity-constitutive pluralism, that overlap may be thin or unstable. Where the state’s understanding of neutrality excludes reasons some citizens regard as non-negotiable, it becomes difficult to see how deference could improve conformity to their reasons. The problem is not merely episodic failure, but a fracture in the conditions under which authority can function as a service at all.</w:t>
      </w:r>
    </w:p>
    <w:p w14:paraId="3B58B2EB" w14:textId="77777777" w:rsidR="0089364B" w:rsidRDefault="0089364B" w:rsidP="0089364B">
      <w:pPr>
        <w:ind w:firstLine="720"/>
      </w:pPr>
    </w:p>
    <w:p w14:paraId="05F76654" w14:textId="77777777" w:rsidR="00DD7E55" w:rsidRDefault="00DD7E55" w:rsidP="007D1E29">
      <w:pPr>
        <w:pStyle w:val="Heading2"/>
      </w:pPr>
      <w:r>
        <w:t>5.3 Pre-emption, Neutrality, and Symbolic Power</w:t>
      </w:r>
    </w:p>
    <w:p w14:paraId="7F1D548B" w14:textId="77777777" w:rsidR="00DD7E55" w:rsidRDefault="00DD7E55" w:rsidP="00DD7E55"/>
    <w:p w14:paraId="1DE0CA8A" w14:textId="77777777" w:rsidR="007D1E29" w:rsidRDefault="00DD7E55" w:rsidP="007D1E29">
      <w:pPr>
        <w:ind w:firstLine="720"/>
      </w:pPr>
      <w:r>
        <w:t>Bill 21 also illustrates a distinctive use of pre-emptive authority. The law instructs citizens not merely how to act, but how to present themselves in their civic roles. It claims the power to exclude certain forms of visible commitment from public space in the name of neutrality.</w:t>
      </w:r>
    </w:p>
    <w:p w14:paraId="311402B1" w14:textId="77777777" w:rsidR="007D1E29" w:rsidRDefault="00DD7E55" w:rsidP="007D1E29">
      <w:pPr>
        <w:ind w:firstLine="720"/>
      </w:pPr>
      <w:r>
        <w:t xml:space="preserve">Yet neutrality itself is not a neutral concept. It reflects a substantive vision of the public sphere, one shaped by </w:t>
      </w:r>
      <w:proofErr w:type="gramStart"/>
      <w:r>
        <w:t>particular historical</w:t>
      </w:r>
      <w:proofErr w:type="gramEnd"/>
      <w:r>
        <w:t xml:space="preserve"> and cultural assumptions. To enforce this vision through pre-emptive directives is to treat it as authoritative rather than contestable. Citizens are </w:t>
      </w:r>
      <w:r>
        <w:lastRenderedPageBreak/>
        <w:t>not invited to deliberate about whether neutrality is best realized through uniform appearance. They are instructed to comply.</w:t>
      </w:r>
    </w:p>
    <w:p w14:paraId="6268ED74" w14:textId="0CB2592E" w:rsidR="00DD7E55" w:rsidRDefault="00DD7E55" w:rsidP="007D1E29">
      <w:pPr>
        <w:ind w:firstLine="720"/>
      </w:pPr>
      <w:r>
        <w:t>This use of pre-emptive force is difficult to reconcile with Raz’s criteria. Where authority suppresses rather than mediates contestation over fundamental values, it risks insulating itself from the very reasons it purports to serve. The law may succeed in imposing a particular symbolic order. It does not thereby succeed in generating an obligation to obey.</w:t>
      </w:r>
    </w:p>
    <w:p w14:paraId="6E6A78F1" w14:textId="77777777" w:rsidR="00DD7E55" w:rsidRDefault="00DD7E55" w:rsidP="00DD7E55"/>
    <w:p w14:paraId="05AEB4C8" w14:textId="77777777" w:rsidR="00DD7E55" w:rsidRDefault="00DD7E55" w:rsidP="007D1E29">
      <w:pPr>
        <w:pStyle w:val="Heading2"/>
      </w:pPr>
      <w:r>
        <w:t>5.4 Authority, Pluralism, and Moral Remainder</w:t>
      </w:r>
    </w:p>
    <w:p w14:paraId="1A5A2078" w14:textId="77777777" w:rsidR="00DD7E55" w:rsidRDefault="00DD7E55" w:rsidP="00DD7E55"/>
    <w:p w14:paraId="4DFC47BB" w14:textId="77777777" w:rsidR="007D1E29" w:rsidRDefault="00DD7E55" w:rsidP="007D1E29">
      <w:pPr>
        <w:ind w:firstLine="720"/>
      </w:pPr>
      <w:r>
        <w:t>The case of Bill 21 reveals a deeper tension within liberal democracies. Political authority depends on its ability to serve citizens’ reasons, yet pluralism ensures that those reasons will often diverge in ways that resist authoritative resolution. In such contexts, the state may face a choice between legal uniformity and moral legitimacy.</w:t>
      </w:r>
    </w:p>
    <w:p w14:paraId="1DAF9E44" w14:textId="77777777" w:rsidR="007D1E29" w:rsidRDefault="00DD7E55" w:rsidP="007D1E29">
      <w:pPr>
        <w:ind w:firstLine="720"/>
      </w:pPr>
      <w:r>
        <w:t>A Razian audit does not dictate a single outcome. It does, however, clarify the cost of certain choices. Where the state enacts directives that systematically fail to reflect or advance the reasons of affected minorities, it forfeits its claim to authority over those domains. Compliance may continue, but it does so under conditions of moral remainder. The law binds legally, but it does not obligate.</w:t>
      </w:r>
    </w:p>
    <w:p w14:paraId="26C6D616" w14:textId="1E999404" w:rsidR="00DD7E55" w:rsidRDefault="00C82C53" w:rsidP="007D1E29">
      <w:pPr>
        <w:ind w:firstLine="720"/>
      </w:pPr>
      <w:r w:rsidRPr="00C82C53">
        <w:t>The law binds legally but does not obligate; this is a diagnosis of legitimacy failure.</w:t>
      </w:r>
      <w:r>
        <w:t xml:space="preserve"> </w:t>
      </w:r>
      <w:r w:rsidR="00DD7E55">
        <w:t>Authority, on Raz’s account, is conditional and episodic. Bill 21 illustrates how authority can falter not because the state lacks power, but because it lacks the justificatory resources required to claim obedience from citizens whose reasons it does not serve.</w:t>
      </w:r>
    </w:p>
    <w:p w14:paraId="350FDD3D" w14:textId="77777777" w:rsidR="00DD7E55" w:rsidRDefault="00DD7E55" w:rsidP="00DD7E55"/>
    <w:p w14:paraId="3CA73F6F" w14:textId="77777777" w:rsidR="00DD7E55" w:rsidRDefault="00DD7E55" w:rsidP="007D1E29">
      <w:pPr>
        <w:pStyle w:val="Heading2"/>
      </w:pPr>
      <w:r>
        <w:t>5.5 Completing the Razian Audit</w:t>
      </w:r>
    </w:p>
    <w:p w14:paraId="773949BB" w14:textId="77777777" w:rsidR="00DD7E55" w:rsidRDefault="00DD7E55" w:rsidP="00DD7E55"/>
    <w:p w14:paraId="33D4574C" w14:textId="77777777" w:rsidR="007D1E29" w:rsidRDefault="00DD7E55" w:rsidP="007D1E29">
      <w:pPr>
        <w:ind w:firstLine="720"/>
      </w:pPr>
      <w:r>
        <w:t>Taken together, the three case studies illustrate the uneven performance of state authority across domains. Anti-protest laws reveal how authority can fail when it turns against dissent. Secularism legislation exposes the limits of authority in pluralistic contexts where reasons are identity-constitutive and incommensurable.</w:t>
      </w:r>
    </w:p>
    <w:p w14:paraId="35014D81" w14:textId="744FC8B9" w:rsidR="00DD7E55" w:rsidRDefault="00DD7E55" w:rsidP="007D1E29">
      <w:pPr>
        <w:ind w:firstLine="720"/>
      </w:pPr>
      <w:r>
        <w:t xml:space="preserve">The Razian service conception does not promise harmony. It offers a demanding standard by which claims to authority can be assessed. In doing so, it supports a form of liberalism that treats legitimacy as a moral achievement rather than a background entitlement. Where authority </w:t>
      </w:r>
      <w:r>
        <w:lastRenderedPageBreak/>
        <w:t>serves, obedience is justified. Where it does not, legitimacy must be reclaimed through reform rather than assumed.</w:t>
      </w:r>
    </w:p>
    <w:p w14:paraId="0E072A67" w14:textId="77777777" w:rsidR="00DD7E55" w:rsidRDefault="00DD7E55" w:rsidP="00DD7E55"/>
    <w:p w14:paraId="43F27168" w14:textId="5182817B" w:rsidR="00DD7E55" w:rsidRDefault="00DD7E55" w:rsidP="007D1E29">
      <w:pPr>
        <w:pStyle w:val="Heading2"/>
      </w:pPr>
      <w:r>
        <w:t xml:space="preserve">6. </w:t>
      </w:r>
      <w:r w:rsidR="007D1E29">
        <w:t xml:space="preserve">Conclusion: </w:t>
      </w:r>
      <w:r>
        <w:t xml:space="preserve">Authority </w:t>
      </w:r>
      <w:r w:rsidR="004A2963">
        <w:t>Without Presumption</w:t>
      </w:r>
    </w:p>
    <w:p w14:paraId="46F58144" w14:textId="77777777" w:rsidR="00DD7E55" w:rsidRDefault="00DD7E55" w:rsidP="00DD7E55"/>
    <w:p w14:paraId="1E4BC185" w14:textId="380A2F7B" w:rsidR="004A2963" w:rsidRPr="004A2963" w:rsidRDefault="004A2963" w:rsidP="004A2963">
      <w:pPr>
        <w:ind w:firstLine="720"/>
        <w:rPr>
          <w:lang w:val="en-CA"/>
        </w:rPr>
      </w:pPr>
      <w:r w:rsidRPr="004A2963">
        <w:rPr>
          <w:lang w:val="en-CA"/>
        </w:rPr>
        <w:t>The Razian audit undertaken here yields a more demanding conception of political legitimacy than is often assumed in liberal theory. Authority, on Raz’s service conception, is not a standing entitlement that attaches to institutions by virtue of democratic procedure, constitutional form, or historical continuity. It is a moral relation that arises only where directives plausibly help subjects better conform to reasons that already apply to them. Where that condition is met, obedience can be autonomy-enhancing. Where it is not, legal power persists, but authority lapses.</w:t>
      </w:r>
    </w:p>
    <w:p w14:paraId="04985B46" w14:textId="79CC500E" w:rsidR="004A2963" w:rsidRPr="004A2963" w:rsidRDefault="004A2963" w:rsidP="004A2963">
      <w:pPr>
        <w:ind w:firstLine="720"/>
        <w:rPr>
          <w:lang w:val="en-CA"/>
        </w:rPr>
      </w:pPr>
      <w:r w:rsidRPr="004A2963">
        <w:rPr>
          <w:lang w:val="en-CA"/>
        </w:rPr>
        <w:t>This has structural implications for liberal political thought. Much contemporary theory proceeds as if legitimacy is the normal condition of law, subject to erosion under conditions of corruption, injustice, or abuse. The Razian framework suggests the inverse. Legality may be the default institutional condition of political rule; authority is not. Authority exists only where justificatory alignment between state directives and citizens’ practical reasons is maintained. It is therefore domain-specific, conditional, and continuously vulnerable to failure.</w:t>
      </w:r>
    </w:p>
    <w:p w14:paraId="60CF4A56" w14:textId="2E282924" w:rsidR="004A2963" w:rsidRPr="004A2963" w:rsidRDefault="004A2963" w:rsidP="004A2963">
      <w:pPr>
        <w:ind w:firstLine="720"/>
        <w:rPr>
          <w:lang w:val="en-CA"/>
        </w:rPr>
      </w:pPr>
      <w:r w:rsidRPr="004A2963">
        <w:rPr>
          <w:lang w:val="en-CA"/>
        </w:rPr>
        <w:t>The case studies examined here illustrate that vulnerability. Under conditions of epistemic uncertainty and coordination pressure, as in certain phases of pandemic governance, authority may function successfully as a service, enabling citizens to act more reliably on reasons of harm avoidance and collective protection. In domains marked by contestation or identity-constitutive disagreement, however, the justificatory basis of authority grows fragile. Restrictions on political protest risk disabling the very agency through which citizens contest and renew legitimacy. Secularism legislation imposed amid deep ethical pluralism may fail to reflect or advance the reasons of those whose commitments it burdens. In such contexts, authority narrows and its claims to pre-emptive force weaken.</w:t>
      </w:r>
    </w:p>
    <w:p w14:paraId="0CBD220C" w14:textId="55BF0DE3" w:rsidR="004A2963" w:rsidRPr="004A2963" w:rsidRDefault="004A2963" w:rsidP="004A2963">
      <w:pPr>
        <w:ind w:firstLine="720"/>
        <w:rPr>
          <w:lang w:val="en-CA"/>
        </w:rPr>
      </w:pPr>
      <w:r w:rsidRPr="004A2963">
        <w:rPr>
          <w:lang w:val="en-CA"/>
        </w:rPr>
        <w:t xml:space="preserve">This diagnosis does not entail philosophical anarchism. It does not deny that political authority is possible, nor does it collapse legality into mere coercion. It does, however, deny that authority enjoys a general moral presumption. In pluralistic democracies, authority is not the </w:t>
      </w:r>
      <w:r w:rsidRPr="004A2963">
        <w:rPr>
          <w:lang w:val="en-CA"/>
        </w:rPr>
        <w:lastRenderedPageBreak/>
        <w:t>background condition of political life but a contingent achievement. It must be continually earned through responsiveness to the reasons of those governed.</w:t>
      </w:r>
    </w:p>
    <w:p w14:paraId="18630737" w14:textId="1D84A611" w:rsidR="004A2963" w:rsidRPr="004A2963" w:rsidRDefault="004A2963" w:rsidP="004A2963">
      <w:pPr>
        <w:ind w:firstLine="720"/>
        <w:rPr>
          <w:lang w:val="en-CA"/>
        </w:rPr>
      </w:pPr>
      <w:r w:rsidRPr="004A2963">
        <w:rPr>
          <w:lang w:val="en-CA"/>
        </w:rPr>
        <w:t xml:space="preserve">At this point, the contrast with alternative conceptions becomes clearer. Where Oakeshott seeks to preserve authority by insulating it from instrumental performance criteria and anchoring it in the formal character of law, the Razian approach </w:t>
      </w:r>
      <w:proofErr w:type="gramStart"/>
      <w:r w:rsidRPr="004A2963">
        <w:rPr>
          <w:lang w:val="en-CA"/>
        </w:rPr>
        <w:t>subjects</w:t>
      </w:r>
      <w:proofErr w:type="gramEnd"/>
      <w:r w:rsidRPr="004A2963">
        <w:rPr>
          <w:lang w:val="en-CA"/>
        </w:rPr>
        <w:t xml:space="preserve"> authority to ongoing justificatory audit. The former secures stability by resisting evaluative exposure; the latter secures legitimacy by embracing it. The choice between these orientations reflects divergent understandings of what authority is for. Is it primarily to maintain a stable civil association, or to serve the practical reasoning of citizens whose commitments do not fully converge?</w:t>
      </w:r>
    </w:p>
    <w:p w14:paraId="2A18975B" w14:textId="77777777" w:rsidR="004A2963" w:rsidRPr="004A2963" w:rsidRDefault="004A2963" w:rsidP="004A2963">
      <w:pPr>
        <w:ind w:firstLine="720"/>
        <w:rPr>
          <w:lang w:val="en-CA"/>
        </w:rPr>
      </w:pPr>
      <w:r w:rsidRPr="004A2963">
        <w:rPr>
          <w:lang w:val="en-CA"/>
        </w:rPr>
        <w:t>If the Razian answer is accepted, liberal authority must be understood as structurally vulnerable. Its scope will vary across domains, and its claims will be revisable under changing epistemic and normative conditions. Political obligation, on this view, is neither universal nor permanent. It is the episodic moral success of institutions that, within a given sphere and for a time, genuinely serve the reasons of those they govern.</w:t>
      </w:r>
    </w:p>
    <w:p w14:paraId="612D5701" w14:textId="60183B42" w:rsidR="001E7D7F" w:rsidRPr="00816176" w:rsidRDefault="001E7D7F" w:rsidP="00F350C1">
      <w:pPr>
        <w:ind w:firstLine="720"/>
        <w:rPr>
          <w:lang w:val="en-CA"/>
        </w:rPr>
      </w:pPr>
    </w:p>
    <w:sectPr w:rsidR="001E7D7F" w:rsidRPr="00816176">
      <w:footerReference w:type="even" r:id="rId7"/>
      <w:footerReference w:type="default" r:id="rId8"/>
      <w:endnotePr>
        <w:numFmt w:val="decimal"/>
      </w:endnotePr>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FACB1" w14:textId="77777777" w:rsidR="005C07C0" w:rsidRDefault="005C07C0" w:rsidP="00281DB7">
      <w:pPr>
        <w:spacing w:line="240" w:lineRule="auto"/>
      </w:pPr>
      <w:r>
        <w:separator/>
      </w:r>
    </w:p>
  </w:endnote>
  <w:endnote w:type="continuationSeparator" w:id="0">
    <w:p w14:paraId="1242D2EB" w14:textId="77777777" w:rsidR="005C07C0" w:rsidRDefault="005C07C0" w:rsidP="00281DB7">
      <w:pPr>
        <w:spacing w:line="240" w:lineRule="auto"/>
      </w:pPr>
      <w:r>
        <w:continuationSeparator/>
      </w:r>
    </w:p>
  </w:endnote>
  <w:endnote w:id="1">
    <w:p w14:paraId="6FACEDDC" w14:textId="6F652652" w:rsidR="00281DB7" w:rsidRPr="00286E58" w:rsidRDefault="00281DB7">
      <w:pPr>
        <w:pStyle w:val="EndnoteText"/>
        <w:rPr>
          <w:lang w:val="en-CA"/>
        </w:rPr>
      </w:pPr>
      <w:r>
        <w:rPr>
          <w:rStyle w:val="EndnoteReference"/>
        </w:rPr>
        <w:endnoteRef/>
      </w:r>
      <w:r>
        <w:t xml:space="preserve"> </w:t>
      </w:r>
      <w:r w:rsidR="00286E58" w:rsidRPr="00286E58">
        <w:rPr>
          <w:lang w:val="en-CA"/>
        </w:rPr>
        <w:t xml:space="preserve">A. John Simmons, </w:t>
      </w:r>
      <w:r w:rsidR="00286E58" w:rsidRPr="00286E58">
        <w:rPr>
          <w:i/>
          <w:iCs/>
          <w:lang w:val="en-CA"/>
        </w:rPr>
        <w:t>Moral Principles and Political Obligations</w:t>
      </w:r>
      <w:r w:rsidR="00286E58" w:rsidRPr="00286E58">
        <w:rPr>
          <w:lang w:val="en-CA"/>
        </w:rPr>
        <w:t xml:space="preserve"> (Princeton, NJ: Princeton University Press, </w:t>
      </w:r>
      <w:r w:rsidR="00286E58">
        <w:rPr>
          <w:lang w:val="en-CA"/>
        </w:rPr>
        <w:t>1979</w:t>
      </w:r>
      <w:r w:rsidR="00286E58" w:rsidRPr="00286E58">
        <w:rPr>
          <w:lang w:val="en-CA"/>
        </w:rPr>
        <w:t>), 57–62.</w:t>
      </w:r>
    </w:p>
  </w:endnote>
  <w:endnote w:id="2">
    <w:p w14:paraId="05CF2779" w14:textId="4949B75C" w:rsidR="00281DB7" w:rsidRPr="00281DB7" w:rsidRDefault="00281DB7">
      <w:pPr>
        <w:pStyle w:val="EndnoteText"/>
        <w:rPr>
          <w:lang w:val="en-CA"/>
        </w:rPr>
      </w:pPr>
      <w:r>
        <w:rPr>
          <w:rStyle w:val="EndnoteReference"/>
        </w:rPr>
        <w:endnoteRef/>
      </w:r>
      <w:r>
        <w:t xml:space="preserve"> </w:t>
      </w:r>
      <w:r w:rsidR="00A85608">
        <w:t xml:space="preserve"> </w:t>
      </w:r>
      <w:r w:rsidR="0083504C" w:rsidRPr="0083504C">
        <w:rPr>
          <w:lang w:val="en-CA"/>
        </w:rPr>
        <w:t xml:space="preserve">The phrase “reasons at stake” and related formulations such as “conform to reasons” follow the idiom standard in Razian practical philosophy, where reasons are treated as objective normative facts that agents may or may not successfully act upon. To say that reasons are “at stake” in a given context is to indicate that the normative considerations bearing on an agent’s situation—including interests, commitments, and obligations—are implicated by the decision or directive under discussion. This differs from ordinary usage, in which we might say that an interest or good is at stake. The Razian idiom is retained because it preserves the action-guiding character of reasons as distinct from the interests they track: what matters for the service conception is not simply whether a directive promotes welfare, but whether it enables agents to act as the reasons applying to them require. For Raz’s account of reasons as normative considerations that agents may fail to recognize, weigh, or act upon, see </w:t>
      </w:r>
      <w:r w:rsidR="0083504C" w:rsidRPr="0083504C">
        <w:rPr>
          <w:i/>
          <w:iCs/>
          <w:lang w:val="en-CA"/>
        </w:rPr>
        <w:t>Practical Reason and Norms</w:t>
      </w:r>
      <w:r w:rsidR="0083504C" w:rsidRPr="0083504C">
        <w:rPr>
          <w:lang w:val="en-CA"/>
        </w:rPr>
        <w:t xml:space="preserve"> (Oxford: Oxford University Press, 1999 [1975]) and </w:t>
      </w:r>
      <w:r w:rsidR="0083504C" w:rsidRPr="0083504C">
        <w:rPr>
          <w:i/>
          <w:iCs/>
          <w:lang w:val="en-CA"/>
        </w:rPr>
        <w:t>The Morality of Freedom</w:t>
      </w:r>
      <w:r w:rsidR="0083504C" w:rsidRPr="0083504C">
        <w:rPr>
          <w:lang w:val="en-CA"/>
        </w:rPr>
        <w:t xml:space="preserve"> (Oxford: Clarendon Press, 1986), esp. chs. 2–3, 53–59.</w:t>
      </w:r>
    </w:p>
  </w:endnote>
  <w:endnote w:id="3">
    <w:p w14:paraId="6EDA88C1" w14:textId="0F22FCF0" w:rsidR="00281DB7" w:rsidRPr="00281DB7" w:rsidRDefault="00281DB7">
      <w:pPr>
        <w:pStyle w:val="EndnoteText"/>
        <w:rPr>
          <w:lang w:val="en-CA"/>
        </w:rPr>
      </w:pPr>
      <w:r>
        <w:rPr>
          <w:rStyle w:val="EndnoteReference"/>
        </w:rPr>
        <w:endnoteRef/>
      </w:r>
      <w:r>
        <w:t xml:space="preserve"> </w:t>
      </w:r>
      <w:r w:rsidRPr="00281DB7">
        <w:t>Raz, 46–47.</w:t>
      </w:r>
    </w:p>
  </w:endnote>
  <w:endnote w:id="4">
    <w:p w14:paraId="07C67A65" w14:textId="392713D1" w:rsidR="0083504C" w:rsidRPr="0083504C" w:rsidRDefault="0083504C">
      <w:pPr>
        <w:pStyle w:val="EndnoteText"/>
        <w:rPr>
          <w:lang w:val="en-CA"/>
        </w:rPr>
      </w:pPr>
      <w:r>
        <w:rPr>
          <w:rStyle w:val="EndnoteReference"/>
        </w:rPr>
        <w:endnoteRef/>
      </w:r>
      <w:r>
        <w:t xml:space="preserve"> </w:t>
      </w:r>
      <w:r w:rsidRPr="0083504C">
        <w:rPr>
          <w:lang w:val="en-CA"/>
        </w:rPr>
        <w:t xml:space="preserve">Robert Paul Wolff, </w:t>
      </w:r>
      <w:r w:rsidRPr="0083504C">
        <w:rPr>
          <w:i/>
          <w:iCs/>
          <w:lang w:val="en-CA"/>
        </w:rPr>
        <w:t>In Defense of Anarchism</w:t>
      </w:r>
      <w:r w:rsidRPr="0083504C">
        <w:rPr>
          <w:lang w:val="en-CA"/>
        </w:rPr>
        <w:t xml:space="preserve"> (New York: Harper &amp; Row, 1970), esp. 4–19.</w:t>
      </w:r>
    </w:p>
  </w:endnote>
  <w:endnote w:id="5">
    <w:p w14:paraId="289A4FE2" w14:textId="550E7A23" w:rsidR="00281DB7" w:rsidRPr="00281DB7" w:rsidRDefault="00281DB7">
      <w:pPr>
        <w:pStyle w:val="EndnoteText"/>
        <w:rPr>
          <w:lang w:val="en-CA"/>
        </w:rPr>
      </w:pPr>
      <w:r>
        <w:rPr>
          <w:rStyle w:val="EndnoteReference"/>
        </w:rPr>
        <w:endnoteRef/>
      </w:r>
      <w:r>
        <w:t xml:space="preserve"> </w:t>
      </w:r>
      <w:r w:rsidRPr="00281DB7">
        <w:t>See, Michael Oakeshott, On Human Conduct, Clarendon Paperbacks (Oxford, England: Clarendon Press, 1991) esp. chs. II-III; essays on rule of law.</w:t>
      </w:r>
    </w:p>
  </w:endnote>
  <w:endnote w:id="6">
    <w:p w14:paraId="710CF4AB" w14:textId="66BBD6FB" w:rsidR="00503FCE" w:rsidRPr="00503FCE" w:rsidRDefault="00503FCE">
      <w:pPr>
        <w:pStyle w:val="EndnoteText"/>
        <w:rPr>
          <w:lang w:val="en-CA"/>
        </w:rPr>
      </w:pPr>
      <w:r>
        <w:rPr>
          <w:rStyle w:val="EndnoteReference"/>
        </w:rPr>
        <w:endnoteRef/>
      </w:r>
      <w:r>
        <w:t xml:space="preserve"> </w:t>
      </w:r>
      <w:r w:rsidRPr="00503FCE">
        <w:t>Joseph Raz, The Morality of Freedom (Oxford, England: Clarendon Press, 1986), chap. 3.</w:t>
      </w:r>
    </w:p>
  </w:endnote>
  <w:endnote w:id="7">
    <w:p w14:paraId="408D7607" w14:textId="5645451A" w:rsidR="008605D1" w:rsidRPr="008605D1" w:rsidRDefault="008605D1">
      <w:pPr>
        <w:pStyle w:val="EndnoteText"/>
        <w:rPr>
          <w:lang w:val="en-CA"/>
        </w:rPr>
      </w:pPr>
      <w:r>
        <w:rPr>
          <w:rStyle w:val="EndnoteReference"/>
        </w:rPr>
        <w:endnoteRef/>
      </w:r>
      <w:r>
        <w:t xml:space="preserve"> </w:t>
      </w:r>
      <w:r w:rsidRPr="008605D1">
        <w:rPr>
          <w:lang w:val="en-CA"/>
        </w:rPr>
        <w:t xml:space="preserve">Joseph Raz, </w:t>
      </w:r>
      <w:r w:rsidRPr="008605D1">
        <w:rPr>
          <w:i/>
          <w:iCs/>
          <w:lang w:val="en-CA"/>
        </w:rPr>
        <w:t>The Morality of Freedom</w:t>
      </w:r>
      <w:r w:rsidRPr="008605D1">
        <w:rPr>
          <w:lang w:val="en-CA"/>
        </w:rPr>
        <w:t xml:space="preserve"> (Oxford: Clarendon Press, 1986), ch. 2–3.</w:t>
      </w:r>
    </w:p>
  </w:endnote>
  <w:endnote w:id="8">
    <w:p w14:paraId="5E0C37A7" w14:textId="70C9E20B" w:rsidR="008605D1" w:rsidRPr="008605D1" w:rsidRDefault="008605D1">
      <w:pPr>
        <w:pStyle w:val="EndnoteText"/>
        <w:rPr>
          <w:lang w:val="en-CA"/>
        </w:rPr>
      </w:pPr>
      <w:r>
        <w:rPr>
          <w:rStyle w:val="EndnoteReference"/>
        </w:rPr>
        <w:endnoteRef/>
      </w:r>
      <w:r>
        <w:t xml:space="preserve"> </w:t>
      </w:r>
      <w:r w:rsidRPr="008605D1">
        <w:rPr>
          <w:lang w:val="en-CA"/>
        </w:rPr>
        <w:t xml:space="preserve">Raz, </w:t>
      </w:r>
      <w:r w:rsidRPr="008605D1">
        <w:rPr>
          <w:i/>
          <w:iCs/>
          <w:lang w:val="en-CA"/>
        </w:rPr>
        <w:t>Practical Reason and Norms</w:t>
      </w:r>
      <w:r w:rsidRPr="008605D1">
        <w:rPr>
          <w:lang w:val="en-CA"/>
        </w:rPr>
        <w:t xml:space="preserve"> (Oxford: Oxford University Press, 1999 [1975]), 39–44.</w:t>
      </w:r>
    </w:p>
  </w:endnote>
  <w:endnote w:id="9">
    <w:p w14:paraId="33C2CB16" w14:textId="61509A94" w:rsidR="00445A9C" w:rsidRPr="00445A9C" w:rsidRDefault="00445A9C">
      <w:pPr>
        <w:pStyle w:val="EndnoteText"/>
      </w:pPr>
      <w:r>
        <w:rPr>
          <w:rStyle w:val="EndnoteReference"/>
        </w:rPr>
        <w:endnoteRef/>
      </w:r>
      <w:r>
        <w:t xml:space="preserve"> </w:t>
      </w:r>
      <w:r w:rsidRPr="00445A9C">
        <w:t>Raz, 47.</w:t>
      </w:r>
    </w:p>
  </w:endnote>
  <w:endnote w:id="10">
    <w:p w14:paraId="22BE0AD6" w14:textId="4AE9BDFE" w:rsidR="001E1408" w:rsidRPr="001E1408" w:rsidRDefault="001E1408">
      <w:pPr>
        <w:pStyle w:val="EndnoteText"/>
        <w:rPr>
          <w:lang w:val="en-CA"/>
        </w:rPr>
      </w:pPr>
      <w:r>
        <w:rPr>
          <w:rStyle w:val="EndnoteReference"/>
        </w:rPr>
        <w:endnoteRef/>
      </w:r>
      <w:r>
        <w:t xml:space="preserve"> </w:t>
      </w:r>
      <w:r w:rsidRPr="001E1408">
        <w:t>Raz, 46–47.</w:t>
      </w:r>
    </w:p>
  </w:endnote>
  <w:endnote w:id="11">
    <w:p w14:paraId="1D7D00F4" w14:textId="4FA423D2" w:rsidR="001E1408" w:rsidRPr="00E92157" w:rsidRDefault="001E1408">
      <w:pPr>
        <w:pStyle w:val="EndnoteText"/>
      </w:pPr>
      <w:r>
        <w:rPr>
          <w:rStyle w:val="EndnoteReference"/>
        </w:rPr>
        <w:endnoteRef/>
      </w:r>
      <w:r>
        <w:t xml:space="preserve"> </w:t>
      </w:r>
      <w:r w:rsidR="00E92157">
        <w:fldChar w:fldCharType="begin" w:fldLock="1"/>
      </w:r>
      <w:r w:rsidR="00E92157">
        <w:instrText>ADDIN paperpile_citation &lt;clusterId&gt;Y483L463H854F544&lt;/clusterId&gt;&lt;metadata&gt;&lt;citation&gt;&lt;id&gt;b213c76b-5c92-402a-a578-991c00c65c3b&lt;/id&gt;&lt;locator&gt;39-44&lt;/locator&gt;&lt;/citation&gt;&lt;/metadata&gt;&lt;data&gt;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&lt;/data&gt; \* MERGEFORMAT</w:instrText>
      </w:r>
      <w:r w:rsidR="00E92157">
        <w:fldChar w:fldCharType="separate"/>
      </w:r>
      <w:r w:rsidR="00E92157">
        <w:rPr>
          <w:noProof/>
        </w:rPr>
        <w:t xml:space="preserve">Joseph Raz, </w:t>
      </w:r>
      <w:r w:rsidR="00E92157" w:rsidRPr="00460131">
        <w:rPr>
          <w:i/>
          <w:noProof/>
        </w:rPr>
        <w:t>Practical Reason and Norms</w:t>
      </w:r>
      <w:r w:rsidR="00E92157">
        <w:rPr>
          <w:noProof/>
        </w:rPr>
        <w:t xml:space="preserve"> (London, England: Oxford University Press, 1999), 39–44.</w:t>
      </w:r>
      <w:r w:rsidR="00E92157">
        <w:fldChar w:fldCharType="end"/>
      </w:r>
    </w:p>
  </w:endnote>
  <w:endnote w:id="12">
    <w:p w14:paraId="673D4879" w14:textId="68137E8C" w:rsidR="00E92157" w:rsidRPr="00E92157" w:rsidRDefault="00E92157">
      <w:pPr>
        <w:pStyle w:val="EndnoteText"/>
        <w:rPr>
          <w:lang w:val="en-CA"/>
        </w:rPr>
      </w:pPr>
      <w:r>
        <w:rPr>
          <w:rStyle w:val="EndnoteReference"/>
        </w:rPr>
        <w:endnoteRef/>
      </w:r>
      <w:r>
        <w:t xml:space="preserve"> </w:t>
      </w:r>
      <w:r w:rsidRPr="00E92157">
        <w:t>Raz, The Morality of Freedom, 369–73.</w:t>
      </w:r>
    </w:p>
  </w:endnote>
  <w:endnote w:id="13">
    <w:p w14:paraId="0BA5B50C" w14:textId="534690B3" w:rsidR="00E92157" w:rsidRPr="00E92157" w:rsidRDefault="00E92157">
      <w:pPr>
        <w:pStyle w:val="EndnoteText"/>
      </w:pPr>
      <w:r>
        <w:rPr>
          <w:rStyle w:val="EndnoteReference"/>
        </w:rPr>
        <w:endnoteRef/>
      </w:r>
      <w:r>
        <w:t xml:space="preserve"> </w:t>
      </w:r>
      <w:r w:rsidRPr="00E92157">
        <w:t>Raz, 53–57; Joseph Raz, The Authority of Law, 2nd ed. (London, England: Oxford University Press, 2009), 159–64</w:t>
      </w:r>
      <w:r>
        <w:t>.</w:t>
      </w:r>
    </w:p>
  </w:endnote>
  <w:endnote w:id="14">
    <w:p w14:paraId="2287D058" w14:textId="6CE890EA" w:rsidR="00E92157" w:rsidRPr="00E92157" w:rsidRDefault="00E92157">
      <w:pPr>
        <w:pStyle w:val="EndnoteText"/>
        <w:rPr>
          <w:lang w:val="en-CA"/>
        </w:rPr>
      </w:pPr>
      <w:r>
        <w:rPr>
          <w:rStyle w:val="EndnoteReference"/>
        </w:rPr>
        <w:endnoteRef/>
      </w:r>
      <w:r>
        <w:t xml:space="preserve"> </w:t>
      </w:r>
      <w:r w:rsidRPr="00E92157">
        <w:t>Raz, The Morality of Freedom, 38–41; Raz, The Authority of Law, 140–48.</w:t>
      </w:r>
    </w:p>
  </w:endnote>
  <w:endnote w:id="15">
    <w:p w14:paraId="2666A437" w14:textId="4A7EA274" w:rsidR="001A09B9" w:rsidRPr="001A09B9" w:rsidRDefault="001A09B9">
      <w:pPr>
        <w:pStyle w:val="EndnoteText"/>
        <w:rPr>
          <w:lang w:val="en-CA"/>
        </w:rPr>
      </w:pPr>
      <w:r>
        <w:rPr>
          <w:rStyle w:val="EndnoteReference"/>
        </w:rPr>
        <w:endnoteRef/>
      </w:r>
      <w:r>
        <w:t xml:space="preserve"> </w:t>
      </w:r>
      <w:r w:rsidRPr="001A09B9">
        <w:t xml:space="preserve">Bourdin, S., Vlassopoulos, M., and Weiss, T., "The Role of Experts in the Covid-19 Pandemic and the Limits of Their Epistemic Authority in Democracy," </w:t>
      </w:r>
      <w:r w:rsidRPr="001A09B9">
        <w:rPr>
          <w:i/>
          <w:iCs/>
        </w:rPr>
        <w:t>Frontiers in Public Health</w:t>
      </w:r>
      <w:r w:rsidRPr="001A09B9">
        <w:t xml:space="preserve"> 8 (2020): 356.</w:t>
      </w:r>
    </w:p>
  </w:endnote>
  <w:endnote w:id="16">
    <w:p w14:paraId="62D2EF5A" w14:textId="471CE714" w:rsidR="00BD7D6C" w:rsidRPr="00BD7D6C" w:rsidRDefault="00BD7D6C">
      <w:pPr>
        <w:pStyle w:val="EndnoteText"/>
        <w:rPr>
          <w:lang w:val="en-CA"/>
        </w:rPr>
      </w:pPr>
      <w:r>
        <w:rPr>
          <w:rStyle w:val="EndnoteReference"/>
        </w:rPr>
        <w:endnoteRef/>
      </w:r>
      <w:r>
        <w:t xml:space="preserve"> </w:t>
      </w:r>
      <w:r w:rsidRPr="00BD7D6C">
        <w:t>The UK legislation</w:t>
      </w:r>
      <w:r w:rsidR="003C3CB0">
        <w:t xml:space="preserve"> </w:t>
      </w:r>
      <w:r w:rsidR="003C3CB0" w:rsidRPr="003C3CB0">
        <w:rPr>
          <w:lang w:val="en-CA"/>
        </w:rPr>
        <w:t>expanded police powers to restrict protests on broad noise-based disruption grounds</w:t>
      </w:r>
      <w:r w:rsidR="003C3CB0">
        <w:rPr>
          <w:lang w:val="en-CA"/>
        </w:rPr>
        <w:t xml:space="preserve"> </w:t>
      </w:r>
      <w:r w:rsidRPr="00BD7D6C">
        <w:t xml:space="preserve">may affect nearby organizations or cause </w:t>
      </w:r>
      <w:r>
        <w:t>“</w:t>
      </w:r>
      <w:r w:rsidRPr="00BD7D6C">
        <w:t>serious unease, alarm or distress</w:t>
      </w:r>
      <w:r>
        <w:t>”</w:t>
      </w:r>
      <w:r w:rsidRPr="00BD7D6C">
        <w:t xml:space="preserve"> to bystanders. The Alberta Act criminalized entering or obstructing broadly defined </w:t>
      </w:r>
      <w:r>
        <w:t>“</w:t>
      </w:r>
      <w:r w:rsidRPr="00BD7D6C">
        <w:t>essential infrastructure</w:t>
      </w:r>
      <w:r>
        <w:t>”</w:t>
      </w:r>
      <w:r w:rsidRPr="00BD7D6C">
        <w:t xml:space="preserve"> — including pipelines, railways, and highways — with fines of up to $25,000 per day for individuals, introduced directly in response to Indigenous-led blockades supporting Wet'suwet'en hereditary chiefs opposing pipeline construction.</w:t>
      </w:r>
    </w:p>
  </w:endnote>
  <w:endnote w:id="17">
    <w:p w14:paraId="7DE41F25" w14:textId="3D332F29" w:rsidR="007D1E29" w:rsidRPr="007D1E29" w:rsidRDefault="007D1E29">
      <w:pPr>
        <w:pStyle w:val="EndnoteText"/>
        <w:rPr>
          <w:lang w:val="en-CA"/>
        </w:rPr>
      </w:pPr>
      <w:r>
        <w:rPr>
          <w:rStyle w:val="EndnoteReference"/>
        </w:rPr>
        <w:endnoteRef/>
      </w:r>
      <w:r>
        <w:t xml:space="preserve"> </w:t>
      </w:r>
      <w:r w:rsidRPr="007D1E29">
        <w:t>Quebec. An Act respecting the laicity of the State, SQ 2019, c 12.https://www.assnat.qc.ca/en/travaux-parlementaires/projets-loi/projet-loi-21-42-1.html</w:t>
      </w:r>
    </w:p>
  </w:endnote>
  <w:endnote w:id="18">
    <w:p w14:paraId="3A6BF6E6" w14:textId="5A64327B" w:rsidR="007D1E29" w:rsidRPr="007D1E29" w:rsidRDefault="007D1E29">
      <w:pPr>
        <w:pStyle w:val="EndnoteText"/>
        <w:rPr>
          <w:lang w:val="en-CA"/>
        </w:rPr>
      </w:pPr>
      <w:r>
        <w:rPr>
          <w:rStyle w:val="EndnoteReference"/>
        </w:rPr>
        <w:endnoteRef/>
      </w:r>
      <w:r>
        <w:t xml:space="preserve"> </w:t>
      </w:r>
      <w:r w:rsidRPr="007D1E29">
        <w:t>cf. Raz, The Morality of Freedom, 56–57.</w:t>
      </w:r>
    </w:p>
  </w:endnote>
  <w:endnote w:id="19">
    <w:p w14:paraId="4E8695D0" w14:textId="320A0C9E" w:rsidR="007D1E29" w:rsidRPr="007D1E29" w:rsidRDefault="007D1E29">
      <w:pPr>
        <w:pStyle w:val="EndnoteText"/>
        <w:rPr>
          <w:lang w:val="en-CA"/>
        </w:rPr>
      </w:pPr>
      <w:r>
        <w:rPr>
          <w:rStyle w:val="EndnoteReference"/>
        </w:rPr>
        <w:endnoteRef/>
      </w:r>
      <w:r>
        <w:t xml:space="preserve"> </w:t>
      </w:r>
      <w:r w:rsidRPr="007D1E29">
        <w:t xml:space="preserve">Jocelyn Maclure and Charles Taylor, </w:t>
      </w:r>
      <w:r w:rsidRPr="001A09B9">
        <w:rPr>
          <w:i/>
          <w:iCs/>
        </w:rPr>
        <w:t>Secularism and Freedom of Conscience</w:t>
      </w:r>
      <w:r w:rsidRPr="007D1E29">
        <w:t>, trans. Jane Marie Todd (London, England: Harvard University Press, 2011), 20–27.</w:t>
      </w:r>
    </w:p>
  </w:endnote>
  <w:endnote w:id="20">
    <w:p w14:paraId="5766811B" w14:textId="3B7411F0" w:rsidR="007D1E29" w:rsidRPr="007D1E29" w:rsidRDefault="007D1E29">
      <w:pPr>
        <w:pStyle w:val="EndnoteText"/>
        <w:rPr>
          <w:lang w:val="en-CA"/>
        </w:rPr>
      </w:pPr>
      <w:r>
        <w:rPr>
          <w:rStyle w:val="EndnoteReference"/>
        </w:rPr>
        <w:endnoteRef/>
      </w:r>
      <w:r>
        <w:t xml:space="preserve"> </w:t>
      </w:r>
      <w:r w:rsidRPr="007D1E29">
        <w:t>An Act respecting the laicity of the State, SQ 2019, c 12, ss. 6–8.</w:t>
      </w:r>
    </w:p>
  </w:endnote>
  <w:endnote w:id="21">
    <w:p w14:paraId="2867093D" w14:textId="48804789" w:rsidR="007D1E29" w:rsidRPr="007D1E29" w:rsidRDefault="007D1E29">
      <w:pPr>
        <w:pStyle w:val="EndnoteText"/>
        <w:rPr>
          <w:lang w:val="en-CA"/>
        </w:rPr>
      </w:pPr>
      <w:r>
        <w:rPr>
          <w:rStyle w:val="EndnoteReference"/>
        </w:rPr>
        <w:endnoteRef/>
      </w:r>
      <w:r>
        <w:t xml:space="preserve"> </w:t>
      </w:r>
      <w:r w:rsidRPr="007D1E29">
        <w:t>An Act respecting the laicity of the State, SQ 2019, c 12.</w:t>
      </w:r>
    </w:p>
  </w:endnote>
  <w:endnote w:id="22">
    <w:p w14:paraId="7C00D078" w14:textId="4DFA7DBE" w:rsidR="007D1E29" w:rsidRPr="007D1E29" w:rsidRDefault="007D1E29">
      <w:pPr>
        <w:pStyle w:val="EndnoteText"/>
        <w:rPr>
          <w:lang w:val="en-CA"/>
        </w:rPr>
      </w:pPr>
      <w:r>
        <w:rPr>
          <w:rStyle w:val="EndnoteReference"/>
        </w:rPr>
        <w:endnoteRef/>
      </w:r>
      <w:r>
        <w:t xml:space="preserve"> </w:t>
      </w:r>
      <w:r w:rsidRPr="007D1E29">
        <w:t xml:space="preserve">Linda Besner, “Quebec’s War on Religion,” Maclean’s, September 22, 2025; Dan Mamlok, “Bill 21 as an Exemplar of the Fragility of Tolerance,” </w:t>
      </w:r>
      <w:r w:rsidRPr="001A09B9">
        <w:rPr>
          <w:i/>
          <w:iCs/>
        </w:rPr>
        <w:t>Discourse: Studies in the Cultural Politics of Education</w:t>
      </w:r>
      <w:r w:rsidRPr="007D1E29">
        <w:t xml:space="preserve"> 45, no. 1 (January 2, 2024): 58–62.</w:t>
      </w:r>
    </w:p>
  </w:endnote>
  <w:endnote w:id="23">
    <w:p w14:paraId="2240BCA5" w14:textId="2877F9E2" w:rsidR="007D1E29" w:rsidRPr="007D1E29" w:rsidRDefault="007D1E29">
      <w:pPr>
        <w:pStyle w:val="EndnoteText"/>
        <w:rPr>
          <w:lang w:val="en-CA"/>
        </w:rPr>
      </w:pPr>
      <w:r>
        <w:rPr>
          <w:rStyle w:val="EndnoteReference"/>
        </w:rPr>
        <w:endnoteRef/>
      </w:r>
      <w:r>
        <w:t xml:space="preserve"> </w:t>
      </w:r>
      <w:r w:rsidRPr="007D1E29">
        <w:t xml:space="preserve">Raz, </w:t>
      </w:r>
      <w:r w:rsidRPr="001A09B9">
        <w:rPr>
          <w:i/>
          <w:iCs/>
        </w:rPr>
        <w:t>The Morality of Freedom</w:t>
      </w:r>
      <w:r w:rsidRPr="007D1E29">
        <w:t xml:space="preserve">, 38–41; Raz, </w:t>
      </w:r>
      <w:r w:rsidRPr="001A09B9">
        <w:rPr>
          <w:i/>
          <w:iCs/>
        </w:rPr>
        <w:t>The Authority of Law</w:t>
      </w:r>
      <w:r w:rsidRPr="007D1E29">
        <w:t>, 140–48.</w:t>
      </w:r>
    </w:p>
  </w:endnote>
  <w:endnote w:id="24">
    <w:p w14:paraId="0EF6BA26" w14:textId="09E38778" w:rsidR="007D1E29" w:rsidRPr="007D1E29" w:rsidRDefault="007D1E29">
      <w:pPr>
        <w:pStyle w:val="EndnoteText"/>
        <w:rPr>
          <w:lang w:val="en-CA"/>
        </w:rPr>
      </w:pPr>
      <w:r>
        <w:rPr>
          <w:rStyle w:val="EndnoteReference"/>
        </w:rPr>
        <w:endnoteRef/>
      </w:r>
      <w:r>
        <w:t xml:space="preserve"> </w:t>
      </w:r>
      <w:r w:rsidRPr="007D1E29">
        <w:t xml:space="preserve">Raz, </w:t>
      </w:r>
      <w:r w:rsidRPr="001A09B9">
        <w:rPr>
          <w:i/>
          <w:iCs/>
        </w:rPr>
        <w:t>The Morality of Freedom</w:t>
      </w:r>
      <w:r w:rsidRPr="007D1E29">
        <w:t>, 62–63.</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imes New Roman (Body CS)">
    <w:altName w:val="Times New Roman"/>
    <w:panose1 w:val="020B0604020202020204"/>
    <w:charset w:val="00"/>
    <w:family w:val="roman"/>
    <w:pitch w:val="default"/>
  </w:font>
  <w:font w:name="Palatino">
    <w:panose1 w:val="00000000000000000000"/>
    <w:charset w:val="4D"/>
    <w:family w:val="auto"/>
    <w:pitch w:val="variable"/>
    <w:sig w:usb0="A00002FF" w:usb1="7800205A" w:usb2="14600000" w:usb3="00000000" w:csb0="00000193"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8045066"/>
      <w:docPartObj>
        <w:docPartGallery w:val="Page Numbers (Bottom of Page)"/>
        <w:docPartUnique/>
      </w:docPartObj>
    </w:sdtPr>
    <w:sdtContent>
      <w:p w14:paraId="74871C44" w14:textId="060CBB91" w:rsidR="00445A9C" w:rsidRDefault="00445A9C" w:rsidP="004D74D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EB3CC4" w14:textId="77777777" w:rsidR="00445A9C" w:rsidRDefault="00445A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82463030"/>
      <w:docPartObj>
        <w:docPartGallery w:val="Page Numbers (Bottom of Page)"/>
        <w:docPartUnique/>
      </w:docPartObj>
    </w:sdtPr>
    <w:sdtContent>
      <w:p w14:paraId="681D9D92" w14:textId="38620F25" w:rsidR="00445A9C" w:rsidRDefault="00445A9C" w:rsidP="004D74D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CF11775" w14:textId="77777777" w:rsidR="00445A9C" w:rsidRDefault="00445A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2BF22" w14:textId="77777777" w:rsidR="005C07C0" w:rsidRDefault="005C07C0" w:rsidP="00281DB7">
      <w:pPr>
        <w:spacing w:line="240" w:lineRule="auto"/>
      </w:pPr>
      <w:r>
        <w:separator/>
      </w:r>
    </w:p>
  </w:footnote>
  <w:footnote w:type="continuationSeparator" w:id="0">
    <w:p w14:paraId="39EB49A4" w14:textId="77777777" w:rsidR="005C07C0" w:rsidRDefault="005C07C0" w:rsidP="00281DB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1612"/>
    <w:multiLevelType w:val="multilevel"/>
    <w:tmpl w:val="DBE8D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68202C"/>
    <w:multiLevelType w:val="multilevel"/>
    <w:tmpl w:val="D91CA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412294"/>
    <w:multiLevelType w:val="multilevel"/>
    <w:tmpl w:val="8DD824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0986334">
    <w:abstractNumId w:val="1"/>
  </w:num>
  <w:num w:numId="2" w16cid:durableId="667251602">
    <w:abstractNumId w:val="0"/>
  </w:num>
  <w:num w:numId="3" w16cid:durableId="1659070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DA2"/>
    <w:rsid w:val="00011319"/>
    <w:rsid w:val="00020870"/>
    <w:rsid w:val="000A74FF"/>
    <w:rsid w:val="001A09B9"/>
    <w:rsid w:val="001E1408"/>
    <w:rsid w:val="001E7D7F"/>
    <w:rsid w:val="002660C0"/>
    <w:rsid w:val="00281DB7"/>
    <w:rsid w:val="00286E58"/>
    <w:rsid w:val="002C0FB1"/>
    <w:rsid w:val="002C3DA0"/>
    <w:rsid w:val="003762CF"/>
    <w:rsid w:val="003A02D2"/>
    <w:rsid w:val="003A1246"/>
    <w:rsid w:val="003C3CB0"/>
    <w:rsid w:val="00417A2E"/>
    <w:rsid w:val="00445A9C"/>
    <w:rsid w:val="00447A7F"/>
    <w:rsid w:val="004A2963"/>
    <w:rsid w:val="00503FCE"/>
    <w:rsid w:val="005C07C0"/>
    <w:rsid w:val="00604D82"/>
    <w:rsid w:val="0068422E"/>
    <w:rsid w:val="006C4799"/>
    <w:rsid w:val="006D7481"/>
    <w:rsid w:val="007234A2"/>
    <w:rsid w:val="00797319"/>
    <w:rsid w:val="007D1E29"/>
    <w:rsid w:val="007F4A08"/>
    <w:rsid w:val="00816176"/>
    <w:rsid w:val="00816D8B"/>
    <w:rsid w:val="00824E8D"/>
    <w:rsid w:val="0083504C"/>
    <w:rsid w:val="00835FFB"/>
    <w:rsid w:val="008605D1"/>
    <w:rsid w:val="0089364B"/>
    <w:rsid w:val="009566DA"/>
    <w:rsid w:val="00962DA2"/>
    <w:rsid w:val="00A85608"/>
    <w:rsid w:val="00AF0A1B"/>
    <w:rsid w:val="00B653DC"/>
    <w:rsid w:val="00BD7D6C"/>
    <w:rsid w:val="00BF4C4D"/>
    <w:rsid w:val="00BF744E"/>
    <w:rsid w:val="00C82C53"/>
    <w:rsid w:val="00D50CA9"/>
    <w:rsid w:val="00D769BA"/>
    <w:rsid w:val="00DD7E55"/>
    <w:rsid w:val="00E01267"/>
    <w:rsid w:val="00E71198"/>
    <w:rsid w:val="00E92157"/>
    <w:rsid w:val="00EF58EC"/>
    <w:rsid w:val="00F350C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34C30"/>
  <w15:chartTrackingRefBased/>
  <w15:docId w15:val="{D9E184A4-676E-AF47-B31F-5A9714CDF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4FF"/>
    <w:pPr>
      <w:spacing w:after="0" w:line="360" w:lineRule="auto"/>
    </w:pPr>
    <w:rPr>
      <w:rFonts w:ascii="Times New Roman" w:hAnsi="Times New Roman" w:cs="Times New Roman (Body CS)"/>
      <w:lang w:val="en-US"/>
    </w:rPr>
  </w:style>
  <w:style w:type="paragraph" w:styleId="Heading1">
    <w:name w:val="heading 1"/>
    <w:basedOn w:val="Normal"/>
    <w:next w:val="Normal"/>
    <w:link w:val="Heading1Char"/>
    <w:autoRedefine/>
    <w:qFormat/>
    <w:rsid w:val="00D769BA"/>
    <w:pPr>
      <w:keepNext/>
      <w:keepLines/>
      <w:spacing w:before="240" w:line="240" w:lineRule="auto"/>
      <w:jc w:val="center"/>
      <w:outlineLvl w:val="0"/>
    </w:pPr>
    <w:rPr>
      <w:rFonts w:eastAsiaTheme="majorEastAsia" w:cstheme="majorBidi"/>
      <w:color w:val="0F4761" w:themeColor="accent1" w:themeShade="BF"/>
      <w:sz w:val="32"/>
      <w:szCs w:val="32"/>
    </w:rPr>
  </w:style>
  <w:style w:type="paragraph" w:styleId="Heading2">
    <w:name w:val="heading 2"/>
    <w:basedOn w:val="Normal"/>
    <w:next w:val="Normal"/>
    <w:link w:val="Heading2Char"/>
    <w:autoRedefine/>
    <w:uiPriority w:val="9"/>
    <w:unhideWhenUsed/>
    <w:qFormat/>
    <w:rsid w:val="00E92157"/>
    <w:pPr>
      <w:keepNext/>
      <w:keepLines/>
      <w:spacing w:before="40" w:line="240" w:lineRule="auto"/>
      <w:outlineLvl w:val="1"/>
    </w:pPr>
    <w:rPr>
      <w:rFonts w:eastAsiaTheme="majorEastAsia" w:cstheme="majorBidi"/>
      <w:b/>
      <w:color w:val="0F4761" w:themeColor="accent1" w:themeShade="BF"/>
      <w:szCs w:val="26"/>
    </w:rPr>
  </w:style>
  <w:style w:type="paragraph" w:styleId="Heading3">
    <w:name w:val="heading 3"/>
    <w:basedOn w:val="Normal"/>
    <w:next w:val="Normal"/>
    <w:link w:val="Heading3Char"/>
    <w:autoRedefine/>
    <w:uiPriority w:val="9"/>
    <w:unhideWhenUsed/>
    <w:qFormat/>
    <w:rsid w:val="00D769BA"/>
    <w:pPr>
      <w:keepNext/>
      <w:keepLines/>
      <w:spacing w:before="160" w:after="80"/>
      <w:outlineLvl w:val="2"/>
    </w:pPr>
    <w:rPr>
      <w:rFonts w:eastAsia="Times New Roman" w:cstheme="majorBidi"/>
      <w:color w:val="0F4761" w:themeColor="accent1" w:themeShade="BF"/>
    </w:rPr>
  </w:style>
  <w:style w:type="paragraph" w:styleId="Heading4">
    <w:name w:val="heading 4"/>
    <w:basedOn w:val="Normal"/>
    <w:next w:val="Normal"/>
    <w:link w:val="Heading4Char"/>
    <w:uiPriority w:val="9"/>
    <w:semiHidden/>
    <w:unhideWhenUsed/>
    <w:qFormat/>
    <w:rsid w:val="00962D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12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D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62D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62D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62D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769BA"/>
    <w:rPr>
      <w:rFonts w:ascii="Times New Roman" w:eastAsiaTheme="majorEastAsia" w:hAnsi="Times New Roman" w:cstheme="majorBidi"/>
      <w:color w:val="0F4761" w:themeColor="accent1" w:themeShade="BF"/>
      <w:sz w:val="32"/>
      <w:szCs w:val="32"/>
    </w:rPr>
  </w:style>
  <w:style w:type="paragraph" w:customStyle="1" w:styleId="Author">
    <w:name w:val="Author"/>
    <w:basedOn w:val="Heading5"/>
    <w:autoRedefine/>
    <w:qFormat/>
    <w:rsid w:val="00D769BA"/>
    <w:pPr>
      <w:spacing w:line="240" w:lineRule="auto"/>
      <w:jc w:val="center"/>
    </w:pPr>
    <w:rPr>
      <w:sz w:val="28"/>
    </w:rPr>
  </w:style>
  <w:style w:type="character" w:customStyle="1" w:styleId="Heading5Char">
    <w:name w:val="Heading 5 Char"/>
    <w:basedOn w:val="DefaultParagraphFont"/>
    <w:link w:val="Heading5"/>
    <w:uiPriority w:val="9"/>
    <w:semiHidden/>
    <w:rsid w:val="00E01267"/>
    <w:rPr>
      <w:rFonts w:eastAsiaTheme="majorEastAsia" w:cstheme="majorBidi"/>
      <w:color w:val="0F4761" w:themeColor="accent1" w:themeShade="BF"/>
    </w:rPr>
  </w:style>
  <w:style w:type="character" w:customStyle="1" w:styleId="Heading3Char">
    <w:name w:val="Heading 3 Char"/>
    <w:basedOn w:val="DefaultParagraphFont"/>
    <w:link w:val="Heading3"/>
    <w:uiPriority w:val="9"/>
    <w:rsid w:val="00D769BA"/>
    <w:rPr>
      <w:rFonts w:ascii="Times New Roman" w:eastAsia="Times New Roman" w:hAnsi="Times New Roman" w:cstheme="majorBidi"/>
      <w:color w:val="0F4761" w:themeColor="accent1" w:themeShade="BF"/>
      <w:kern w:val="0"/>
      <w14:ligatures w14:val="none"/>
    </w:rPr>
  </w:style>
  <w:style w:type="paragraph" w:customStyle="1" w:styleId="AbstractBody">
    <w:name w:val="Abstract Body"/>
    <w:basedOn w:val="BodyText"/>
    <w:autoRedefine/>
    <w:qFormat/>
    <w:rsid w:val="00D769BA"/>
    <w:pPr>
      <w:spacing w:line="240" w:lineRule="auto"/>
    </w:pPr>
  </w:style>
  <w:style w:type="paragraph" w:styleId="BodyText">
    <w:name w:val="Body Text"/>
    <w:basedOn w:val="Normal"/>
    <w:link w:val="BodyTextChar"/>
    <w:autoRedefine/>
    <w:qFormat/>
    <w:rsid w:val="0068422E"/>
    <w:pPr>
      <w:spacing w:before="180" w:after="180"/>
    </w:pPr>
  </w:style>
  <w:style w:type="character" w:customStyle="1" w:styleId="BodyTextChar">
    <w:name w:val="Body Text Char"/>
    <w:basedOn w:val="DefaultParagraphFont"/>
    <w:link w:val="BodyText"/>
    <w:rsid w:val="0068422E"/>
    <w:rPr>
      <w:rFonts w:ascii="Palatino" w:hAnsi="Palatino"/>
      <w:kern w:val="0"/>
      <w:lang w:val="en-US"/>
      <w14:ligatures w14:val="none"/>
    </w:rPr>
  </w:style>
  <w:style w:type="paragraph" w:styleId="Title">
    <w:name w:val="Title"/>
    <w:basedOn w:val="Normal"/>
    <w:next w:val="Normal"/>
    <w:link w:val="TitleChar"/>
    <w:autoRedefine/>
    <w:uiPriority w:val="10"/>
    <w:qFormat/>
    <w:rsid w:val="00011319"/>
    <w:pPr>
      <w:spacing w:line="240" w:lineRule="auto"/>
      <w:contextualSpacing/>
      <w:jc w:val="center"/>
    </w:pPr>
    <w:rPr>
      <w:rFonts w:eastAsiaTheme="majorEastAsia" w:cstheme="majorBidi"/>
      <w:spacing w:val="-10"/>
      <w:kern w:val="28"/>
      <w:sz w:val="32"/>
      <w:szCs w:val="56"/>
    </w:rPr>
  </w:style>
  <w:style w:type="character" w:customStyle="1" w:styleId="TitleChar">
    <w:name w:val="Title Char"/>
    <w:basedOn w:val="DefaultParagraphFont"/>
    <w:link w:val="Title"/>
    <w:uiPriority w:val="10"/>
    <w:rsid w:val="00011319"/>
    <w:rPr>
      <w:rFonts w:eastAsiaTheme="majorEastAsia" w:cstheme="majorBidi"/>
      <w:spacing w:val="-10"/>
      <w:kern w:val="28"/>
      <w:sz w:val="32"/>
      <w:szCs w:val="56"/>
      <w:lang w:val="en-US"/>
    </w:rPr>
  </w:style>
  <w:style w:type="paragraph" w:customStyle="1" w:styleId="AuthorandAffiliation">
    <w:name w:val="Author and Affiliation"/>
    <w:basedOn w:val="Normal"/>
    <w:autoRedefine/>
    <w:qFormat/>
    <w:rsid w:val="00011319"/>
    <w:pPr>
      <w:spacing w:line="240" w:lineRule="auto"/>
      <w:jc w:val="center"/>
    </w:pPr>
  </w:style>
  <w:style w:type="paragraph" w:customStyle="1" w:styleId="Abstractastitle">
    <w:name w:val="Abstract (as title)"/>
    <w:basedOn w:val="Normal"/>
    <w:autoRedefine/>
    <w:qFormat/>
    <w:rsid w:val="00011319"/>
    <w:pPr>
      <w:suppressAutoHyphens/>
      <w:spacing w:after="240" w:line="240" w:lineRule="auto"/>
      <w:jc w:val="center"/>
    </w:pPr>
    <w:rPr>
      <w:rFonts w:cs="Arial Unicode MS"/>
      <w:color w:val="000000" w:themeColor="text1"/>
      <w:szCs w:val="37"/>
      <w:lang w:val="de-DE"/>
      <w14:textOutline w14:w="0" w14:cap="flat" w14:cmpd="sng" w14:algn="ctr">
        <w14:noFill/>
        <w14:prstDash w14:val="solid"/>
        <w14:bevel/>
      </w14:textOutline>
    </w:rPr>
  </w:style>
  <w:style w:type="character" w:customStyle="1" w:styleId="Heading2Char">
    <w:name w:val="Heading 2 Char"/>
    <w:basedOn w:val="DefaultParagraphFont"/>
    <w:link w:val="Heading2"/>
    <w:uiPriority w:val="9"/>
    <w:rsid w:val="00E92157"/>
    <w:rPr>
      <w:rFonts w:ascii="Times New Roman" w:eastAsiaTheme="majorEastAsia" w:hAnsi="Times New Roman" w:cstheme="majorBidi"/>
      <w:b/>
      <w:color w:val="0F4761" w:themeColor="accent1" w:themeShade="BF"/>
      <w:szCs w:val="26"/>
      <w:lang w:val="en-US"/>
    </w:rPr>
  </w:style>
  <w:style w:type="paragraph" w:styleId="FootnoteText">
    <w:name w:val="footnote text"/>
    <w:basedOn w:val="Normal"/>
    <w:link w:val="FootnoteTextChar"/>
    <w:autoRedefine/>
    <w:uiPriority w:val="99"/>
    <w:semiHidden/>
    <w:unhideWhenUsed/>
    <w:qFormat/>
    <w:rsid w:val="00D769BA"/>
    <w:pPr>
      <w:spacing w:line="240" w:lineRule="auto"/>
    </w:pPr>
    <w:rPr>
      <w:rFonts w:asciiTheme="minorHAnsi" w:hAnsiTheme="minorHAnsi"/>
      <w:sz w:val="20"/>
      <w:szCs w:val="20"/>
    </w:rPr>
  </w:style>
  <w:style w:type="character" w:customStyle="1" w:styleId="FootnoteTextChar">
    <w:name w:val="Footnote Text Char"/>
    <w:basedOn w:val="DefaultParagraphFont"/>
    <w:link w:val="FootnoteText"/>
    <w:uiPriority w:val="99"/>
    <w:semiHidden/>
    <w:rsid w:val="00D769BA"/>
    <w:rPr>
      <w:sz w:val="20"/>
      <w:szCs w:val="20"/>
    </w:rPr>
  </w:style>
  <w:style w:type="character" w:customStyle="1" w:styleId="Heading4Char">
    <w:name w:val="Heading 4 Char"/>
    <w:basedOn w:val="DefaultParagraphFont"/>
    <w:link w:val="Heading4"/>
    <w:uiPriority w:val="9"/>
    <w:semiHidden/>
    <w:rsid w:val="00962DA2"/>
    <w:rPr>
      <w:rFonts w:eastAsiaTheme="majorEastAsia" w:cstheme="majorBidi"/>
      <w:i/>
      <w:iCs/>
      <w:color w:val="0F4761" w:themeColor="accent1" w:themeShade="BF"/>
      <w:lang w:val="en-US"/>
    </w:rPr>
  </w:style>
  <w:style w:type="character" w:customStyle="1" w:styleId="Heading6Char">
    <w:name w:val="Heading 6 Char"/>
    <w:basedOn w:val="DefaultParagraphFont"/>
    <w:link w:val="Heading6"/>
    <w:uiPriority w:val="9"/>
    <w:semiHidden/>
    <w:rsid w:val="00962DA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962DA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962DA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962DA2"/>
    <w:rPr>
      <w:rFonts w:eastAsiaTheme="majorEastAsia" w:cstheme="majorBidi"/>
      <w:color w:val="272727" w:themeColor="text1" w:themeTint="D8"/>
      <w:lang w:val="en-US"/>
    </w:rPr>
  </w:style>
  <w:style w:type="paragraph" w:styleId="Subtitle">
    <w:name w:val="Subtitle"/>
    <w:basedOn w:val="Normal"/>
    <w:next w:val="Normal"/>
    <w:link w:val="SubtitleChar"/>
    <w:uiPriority w:val="11"/>
    <w:qFormat/>
    <w:rsid w:val="00962DA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DA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962DA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62DA2"/>
    <w:rPr>
      <w:rFonts w:ascii="Times New Roman" w:hAnsi="Times New Roman" w:cs="Times New Roman (Body CS)"/>
      <w:i/>
      <w:iCs/>
      <w:color w:val="404040" w:themeColor="text1" w:themeTint="BF"/>
      <w:lang w:val="en-US"/>
    </w:rPr>
  </w:style>
  <w:style w:type="paragraph" w:styleId="ListParagraph">
    <w:name w:val="List Paragraph"/>
    <w:basedOn w:val="Normal"/>
    <w:uiPriority w:val="34"/>
    <w:qFormat/>
    <w:rsid w:val="00962DA2"/>
    <w:pPr>
      <w:ind w:left="720"/>
      <w:contextualSpacing/>
    </w:pPr>
  </w:style>
  <w:style w:type="character" w:styleId="IntenseEmphasis">
    <w:name w:val="Intense Emphasis"/>
    <w:basedOn w:val="DefaultParagraphFont"/>
    <w:uiPriority w:val="21"/>
    <w:qFormat/>
    <w:rsid w:val="00962DA2"/>
    <w:rPr>
      <w:i/>
      <w:iCs/>
      <w:color w:val="0F4761" w:themeColor="accent1" w:themeShade="BF"/>
    </w:rPr>
  </w:style>
  <w:style w:type="paragraph" w:styleId="IntenseQuote">
    <w:name w:val="Intense Quote"/>
    <w:basedOn w:val="Normal"/>
    <w:next w:val="Normal"/>
    <w:link w:val="IntenseQuoteChar"/>
    <w:uiPriority w:val="30"/>
    <w:qFormat/>
    <w:rsid w:val="00962D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DA2"/>
    <w:rPr>
      <w:rFonts w:ascii="Times New Roman" w:hAnsi="Times New Roman" w:cs="Times New Roman (Body CS)"/>
      <w:i/>
      <w:iCs/>
      <w:color w:val="0F4761" w:themeColor="accent1" w:themeShade="BF"/>
      <w:lang w:val="en-US"/>
    </w:rPr>
  </w:style>
  <w:style w:type="character" w:styleId="IntenseReference">
    <w:name w:val="Intense Reference"/>
    <w:basedOn w:val="DefaultParagraphFont"/>
    <w:uiPriority w:val="32"/>
    <w:qFormat/>
    <w:rsid w:val="00962DA2"/>
    <w:rPr>
      <w:b/>
      <w:bCs/>
      <w:smallCaps/>
      <w:color w:val="0F4761" w:themeColor="accent1" w:themeShade="BF"/>
      <w:spacing w:val="5"/>
    </w:rPr>
  </w:style>
  <w:style w:type="paragraph" w:styleId="EndnoteText">
    <w:name w:val="endnote text"/>
    <w:basedOn w:val="Normal"/>
    <w:link w:val="EndnoteTextChar"/>
    <w:uiPriority w:val="99"/>
    <w:semiHidden/>
    <w:unhideWhenUsed/>
    <w:rsid w:val="00281DB7"/>
    <w:pPr>
      <w:spacing w:line="240" w:lineRule="auto"/>
    </w:pPr>
    <w:rPr>
      <w:sz w:val="20"/>
      <w:szCs w:val="20"/>
    </w:rPr>
  </w:style>
  <w:style w:type="character" w:customStyle="1" w:styleId="EndnoteTextChar">
    <w:name w:val="Endnote Text Char"/>
    <w:basedOn w:val="DefaultParagraphFont"/>
    <w:link w:val="EndnoteText"/>
    <w:uiPriority w:val="99"/>
    <w:semiHidden/>
    <w:rsid w:val="00281DB7"/>
    <w:rPr>
      <w:rFonts w:ascii="Times New Roman" w:hAnsi="Times New Roman" w:cs="Times New Roman (Body CS)"/>
      <w:sz w:val="20"/>
      <w:szCs w:val="20"/>
      <w:lang w:val="en-US"/>
    </w:rPr>
  </w:style>
  <w:style w:type="character" w:styleId="EndnoteReference">
    <w:name w:val="endnote reference"/>
    <w:basedOn w:val="DefaultParagraphFont"/>
    <w:uiPriority w:val="99"/>
    <w:semiHidden/>
    <w:unhideWhenUsed/>
    <w:rsid w:val="00281DB7"/>
    <w:rPr>
      <w:vertAlign w:val="superscript"/>
    </w:rPr>
  </w:style>
  <w:style w:type="paragraph" w:styleId="Footer">
    <w:name w:val="footer"/>
    <w:basedOn w:val="Normal"/>
    <w:link w:val="FooterChar"/>
    <w:uiPriority w:val="99"/>
    <w:unhideWhenUsed/>
    <w:rsid w:val="00445A9C"/>
    <w:pPr>
      <w:tabs>
        <w:tab w:val="center" w:pos="4680"/>
        <w:tab w:val="right" w:pos="9360"/>
      </w:tabs>
      <w:spacing w:line="240" w:lineRule="auto"/>
    </w:pPr>
  </w:style>
  <w:style w:type="character" w:customStyle="1" w:styleId="FooterChar">
    <w:name w:val="Footer Char"/>
    <w:basedOn w:val="DefaultParagraphFont"/>
    <w:link w:val="Footer"/>
    <w:uiPriority w:val="99"/>
    <w:rsid w:val="00445A9C"/>
    <w:rPr>
      <w:rFonts w:ascii="Times New Roman" w:hAnsi="Times New Roman" w:cs="Times New Roman (Body CS)"/>
      <w:lang w:val="en-US"/>
    </w:rPr>
  </w:style>
  <w:style w:type="character" w:styleId="PageNumber">
    <w:name w:val="page number"/>
    <w:basedOn w:val="DefaultParagraphFont"/>
    <w:uiPriority w:val="99"/>
    <w:semiHidden/>
    <w:unhideWhenUsed/>
    <w:rsid w:val="00445A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19</Pages>
  <Words>6031</Words>
  <Characters>36309</Characters>
  <Application>Microsoft Office Word</Application>
  <DocSecurity>0</DocSecurity>
  <Lines>550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Karim Dharamsi</dc:creator>
  <cp:keywords/>
  <dc:description/>
  <cp:lastModifiedBy>Karim Dharamsi</cp:lastModifiedBy>
  <cp:revision>17</cp:revision>
  <dcterms:created xsi:type="dcterms:W3CDTF">2026-02-20T21:23:00Z</dcterms:created>
  <dcterms:modified xsi:type="dcterms:W3CDTF">2026-02-28T08:17:00Z</dcterms:modified>
</cp:coreProperties>
</file>