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A22C6" w14:textId="519D64D4" w:rsidR="00556CFE" w:rsidRDefault="0034368F" w:rsidP="00556CFE">
      <w:pPr>
        <w:spacing w:line="360" w:lineRule="auto"/>
        <w:jc w:val="center"/>
        <w:rPr>
          <w:rFonts w:ascii="Palatino Linotype" w:hAnsi="Palatino Linotype"/>
          <w:b/>
          <w:sz w:val="32"/>
          <w:szCs w:val="32"/>
        </w:rPr>
      </w:pPr>
      <w:r>
        <w:rPr>
          <w:rFonts w:ascii="Palatino Linotype" w:hAnsi="Palatino Linotype"/>
          <w:b/>
          <w:sz w:val="32"/>
          <w:szCs w:val="32"/>
        </w:rPr>
        <w:t>James M. Buchanan and the Limits of Liberty</w:t>
      </w:r>
    </w:p>
    <w:p w14:paraId="74D633E6" w14:textId="10AA66AE" w:rsidR="00556CFE" w:rsidRDefault="00556CFE" w:rsidP="00782294">
      <w:pPr>
        <w:spacing w:after="0" w:line="360" w:lineRule="auto"/>
        <w:jc w:val="center"/>
        <w:rPr>
          <w:rFonts w:ascii="Palatino Linotype" w:hAnsi="Palatino Linotype"/>
        </w:rPr>
      </w:pPr>
      <w:r>
        <w:rPr>
          <w:rFonts w:ascii="Palatino Linotype" w:hAnsi="Palatino Linotype"/>
        </w:rPr>
        <w:t>Alexander W. Craig</w:t>
      </w:r>
    </w:p>
    <w:p w14:paraId="5891F431" w14:textId="77777777" w:rsidR="00556CFE" w:rsidRDefault="00556CFE" w:rsidP="00556CFE">
      <w:pPr>
        <w:spacing w:after="0" w:line="360" w:lineRule="auto"/>
        <w:jc w:val="center"/>
        <w:rPr>
          <w:rFonts w:ascii="Palatino Linotype" w:hAnsi="Palatino Linotype"/>
        </w:rPr>
      </w:pPr>
    </w:p>
    <w:p w14:paraId="7251DC88" w14:textId="77777777" w:rsidR="00556CFE" w:rsidRDefault="00556CFE" w:rsidP="00556CFE">
      <w:pPr>
        <w:spacing w:after="0" w:line="360" w:lineRule="auto"/>
        <w:jc w:val="center"/>
        <w:rPr>
          <w:rFonts w:ascii="Palatino Linotype" w:hAnsi="Palatino Linotype"/>
        </w:rPr>
      </w:pPr>
    </w:p>
    <w:p w14:paraId="49863A5A" w14:textId="77777777" w:rsidR="00556CFE" w:rsidRDefault="00556CFE" w:rsidP="00556CFE">
      <w:pPr>
        <w:spacing w:after="0" w:line="360" w:lineRule="auto"/>
        <w:jc w:val="center"/>
        <w:rPr>
          <w:rFonts w:ascii="Palatino Linotype" w:hAnsi="Palatino Linotype"/>
        </w:rPr>
      </w:pPr>
      <w:r>
        <w:rPr>
          <w:rFonts w:ascii="Palatino Linotype" w:hAnsi="Palatino Linotype"/>
        </w:rPr>
        <w:t>ABSTRACT</w:t>
      </w:r>
    </w:p>
    <w:p w14:paraId="2642C587" w14:textId="0889768A" w:rsidR="000E431B" w:rsidRDefault="0021154C" w:rsidP="008D67B9">
      <w:pPr>
        <w:spacing w:after="0" w:line="240" w:lineRule="auto"/>
        <w:rPr>
          <w:rFonts w:ascii="Palatino Linotype" w:hAnsi="Palatino Linotype"/>
        </w:rPr>
      </w:pPr>
      <w:r w:rsidRPr="0021154C">
        <w:rPr>
          <w:rFonts w:ascii="Palatino Linotype" w:hAnsi="Palatino Linotype"/>
        </w:rPr>
        <w:t>James M. Buchanan articulated a uniqu</w:t>
      </w:r>
      <w:r>
        <w:rPr>
          <w:rFonts w:ascii="Palatino Linotype" w:hAnsi="Palatino Linotype"/>
        </w:rPr>
        <w:t xml:space="preserve">e defense of the existence of the state. </w:t>
      </w:r>
      <w:r w:rsidR="004F1FB7">
        <w:rPr>
          <w:rFonts w:ascii="Palatino Linotype" w:hAnsi="Palatino Linotype"/>
        </w:rPr>
        <w:t xml:space="preserve">He identifies his individualist, constitutionalist, contractarian, democratic, and even philosophical anarchist impulses as being essentially the same. </w:t>
      </w:r>
      <w:r w:rsidR="00E636D5">
        <w:rPr>
          <w:rFonts w:ascii="Palatino Linotype" w:hAnsi="Palatino Linotype"/>
        </w:rPr>
        <w:t>O</w:t>
      </w:r>
      <w:r w:rsidR="004F1FB7">
        <w:rPr>
          <w:rFonts w:ascii="Palatino Linotype" w:hAnsi="Palatino Linotype"/>
        </w:rPr>
        <w:t>ther</w:t>
      </w:r>
      <w:r w:rsidR="00E636D5">
        <w:rPr>
          <w:rFonts w:ascii="Palatino Linotype" w:hAnsi="Palatino Linotype"/>
        </w:rPr>
        <w:t xml:space="preserve"> theorists</w:t>
      </w:r>
      <w:r w:rsidR="004F1FB7">
        <w:rPr>
          <w:rFonts w:ascii="Palatino Linotype" w:hAnsi="Palatino Linotype"/>
        </w:rPr>
        <w:t xml:space="preserve"> have been </w:t>
      </w:r>
      <w:r w:rsidR="00E06A6A">
        <w:rPr>
          <w:rFonts w:ascii="Palatino Linotype" w:hAnsi="Palatino Linotype"/>
        </w:rPr>
        <w:t>concerned</w:t>
      </w:r>
      <w:r w:rsidR="004F1FB7">
        <w:rPr>
          <w:rFonts w:ascii="Palatino Linotype" w:hAnsi="Palatino Linotype"/>
        </w:rPr>
        <w:t xml:space="preserve"> with the ideal political structure</w:t>
      </w:r>
      <w:r w:rsidR="00E06A6A">
        <w:rPr>
          <w:rFonts w:ascii="Palatino Linotype" w:hAnsi="Palatino Linotype"/>
        </w:rPr>
        <w:t>.</w:t>
      </w:r>
      <w:r w:rsidR="004F1FB7">
        <w:rPr>
          <w:rFonts w:ascii="Palatino Linotype" w:hAnsi="Palatino Linotype"/>
        </w:rPr>
        <w:t xml:space="preserve"> Buchanan</w:t>
      </w:r>
      <w:r w:rsidR="00905828">
        <w:rPr>
          <w:rFonts w:ascii="Palatino Linotype" w:hAnsi="Palatino Linotype"/>
        </w:rPr>
        <w:t>, instead,</w:t>
      </w:r>
      <w:r w:rsidR="004F1FB7">
        <w:rPr>
          <w:rFonts w:ascii="Palatino Linotype" w:hAnsi="Palatino Linotype"/>
        </w:rPr>
        <w:t xml:space="preserve"> rejects the search for “truth in politics” and is primarily concerned with what might legitimate </w:t>
      </w:r>
      <w:r w:rsidR="008D67B9">
        <w:rPr>
          <w:rFonts w:ascii="Palatino Linotype" w:hAnsi="Palatino Linotype"/>
        </w:rPr>
        <w:t>a</w:t>
      </w:r>
      <w:r w:rsidR="004F1FB7">
        <w:rPr>
          <w:rFonts w:ascii="Palatino Linotype" w:hAnsi="Palatino Linotype"/>
        </w:rPr>
        <w:t xml:space="preserve"> state </w:t>
      </w:r>
      <w:r w:rsidR="00E06A6A">
        <w:rPr>
          <w:rFonts w:ascii="Palatino Linotype" w:hAnsi="Palatino Linotype"/>
        </w:rPr>
        <w:t xml:space="preserve">in </w:t>
      </w:r>
      <w:r w:rsidR="004F1FB7">
        <w:rPr>
          <w:rFonts w:ascii="Palatino Linotype" w:hAnsi="Palatino Linotype"/>
        </w:rPr>
        <w:t xml:space="preserve">the </w:t>
      </w:r>
      <w:r w:rsidR="00E636D5">
        <w:rPr>
          <w:rFonts w:ascii="Palatino Linotype" w:hAnsi="Palatino Linotype"/>
        </w:rPr>
        <w:t>exist</w:t>
      </w:r>
      <w:r w:rsidR="00790DD1">
        <w:rPr>
          <w:rFonts w:ascii="Palatino Linotype" w:hAnsi="Palatino Linotype"/>
        </w:rPr>
        <w:t>ing</w:t>
      </w:r>
      <w:r w:rsidR="00E636D5">
        <w:rPr>
          <w:rFonts w:ascii="Palatino Linotype" w:hAnsi="Palatino Linotype"/>
        </w:rPr>
        <w:t xml:space="preserve">, </w:t>
      </w:r>
      <w:r w:rsidR="00E06A6A">
        <w:rPr>
          <w:rFonts w:ascii="Palatino Linotype" w:hAnsi="Palatino Linotype"/>
        </w:rPr>
        <w:t>imperfect</w:t>
      </w:r>
      <w:r w:rsidR="004F1FB7">
        <w:rPr>
          <w:rFonts w:ascii="Palatino Linotype" w:hAnsi="Palatino Linotype"/>
        </w:rPr>
        <w:t xml:space="preserve"> world</w:t>
      </w:r>
      <w:r w:rsidR="002A19E4">
        <w:rPr>
          <w:rFonts w:ascii="Palatino Linotype" w:hAnsi="Palatino Linotype"/>
        </w:rPr>
        <w:t>. His approach involves a typical contractarian move of separating the legitimacy of the constitutional order from the determination of day-to-day policy, but his subsequent argument for accepting the initial distribution of rights</w:t>
      </w:r>
      <w:r w:rsidR="00E636D5">
        <w:rPr>
          <w:rFonts w:ascii="Palatino Linotype" w:hAnsi="Palatino Linotype"/>
        </w:rPr>
        <w:t xml:space="preserve"> and then</w:t>
      </w:r>
      <w:r w:rsidR="002A19E4">
        <w:rPr>
          <w:rFonts w:ascii="Palatino Linotype" w:hAnsi="Palatino Linotype"/>
        </w:rPr>
        <w:t xml:space="preserve"> bargaining over rules</w:t>
      </w:r>
      <w:r w:rsidR="00E636D5">
        <w:rPr>
          <w:rFonts w:ascii="Palatino Linotype" w:hAnsi="Palatino Linotype"/>
        </w:rPr>
        <w:t xml:space="preserve"> bear</w:t>
      </w:r>
      <w:r w:rsidR="00905828">
        <w:rPr>
          <w:rFonts w:ascii="Palatino Linotype" w:hAnsi="Palatino Linotype"/>
        </w:rPr>
        <w:t>s</w:t>
      </w:r>
      <w:r w:rsidR="00E636D5">
        <w:rPr>
          <w:rFonts w:ascii="Palatino Linotype" w:hAnsi="Palatino Linotype"/>
        </w:rPr>
        <w:t xml:space="preserve"> the mark of the economic way of thinking</w:t>
      </w:r>
      <w:r w:rsidR="00085D3D">
        <w:rPr>
          <w:rFonts w:ascii="Palatino Linotype" w:hAnsi="Palatino Linotype"/>
        </w:rPr>
        <w:t xml:space="preserve"> and diverges significantly from those who would argue that rights must be defined by the state to have meaning or be enforced</w:t>
      </w:r>
      <w:r w:rsidR="00E636D5">
        <w:rPr>
          <w:rFonts w:ascii="Palatino Linotype" w:hAnsi="Palatino Linotype"/>
        </w:rPr>
        <w:t>.</w:t>
      </w:r>
      <w:r w:rsidR="00905828">
        <w:rPr>
          <w:rFonts w:ascii="Palatino Linotype" w:hAnsi="Palatino Linotype"/>
        </w:rPr>
        <w:t xml:space="preserve"> Major themes in his argument include the necessity of multiple layers of analysis, </w:t>
      </w:r>
      <w:r w:rsidR="008D67B9">
        <w:rPr>
          <w:rFonts w:ascii="Palatino Linotype" w:hAnsi="Palatino Linotype"/>
        </w:rPr>
        <w:t>the normative ideal of unanimity</w:t>
      </w:r>
      <w:r w:rsidR="00905828">
        <w:rPr>
          <w:rFonts w:ascii="Palatino Linotype" w:hAnsi="Palatino Linotype"/>
        </w:rPr>
        <w:t>,</w:t>
      </w:r>
      <w:r w:rsidR="008D67B9">
        <w:rPr>
          <w:rFonts w:ascii="Palatino Linotype" w:hAnsi="Palatino Linotype"/>
        </w:rPr>
        <w:t xml:space="preserve"> taking individuals’ preferences as given, and special attention to the costs of collective decision making. This sets him apart from other contractarians who idealize their contractors, sometimes to the point of making true bargaining </w:t>
      </w:r>
      <w:r w:rsidR="00DB61C6">
        <w:rPr>
          <w:rFonts w:ascii="Palatino Linotype" w:hAnsi="Palatino Linotype"/>
        </w:rPr>
        <w:t xml:space="preserve">and exchange </w:t>
      </w:r>
      <w:r w:rsidR="008D67B9">
        <w:rPr>
          <w:rFonts w:ascii="Palatino Linotype" w:hAnsi="Palatino Linotype"/>
        </w:rPr>
        <w:t>impossible or irrelevant, as well as from other normative individualists who would seek to correct pre-constitutional injustices.</w:t>
      </w:r>
    </w:p>
    <w:p w14:paraId="1C1E0F8F" w14:textId="77777777" w:rsidR="000E431B" w:rsidRDefault="000E431B">
      <w:pPr>
        <w:spacing w:line="259" w:lineRule="auto"/>
        <w:rPr>
          <w:rFonts w:ascii="Palatino Linotype" w:hAnsi="Palatino Linotype"/>
        </w:rPr>
      </w:pPr>
      <w:r>
        <w:rPr>
          <w:rFonts w:ascii="Palatino Linotype" w:hAnsi="Palatino Linotype"/>
        </w:rPr>
        <w:br w:type="page"/>
      </w:r>
    </w:p>
    <w:p w14:paraId="4B53ADEB" w14:textId="2626F42E" w:rsidR="00B01444" w:rsidRDefault="000E431B" w:rsidP="000E431B">
      <w:pPr>
        <w:pStyle w:val="ListParagraph"/>
        <w:numPr>
          <w:ilvl w:val="0"/>
          <w:numId w:val="1"/>
        </w:numPr>
        <w:spacing w:after="0" w:line="240" w:lineRule="auto"/>
        <w:rPr>
          <w:rFonts w:ascii="Palatino Linotype" w:hAnsi="Palatino Linotype"/>
        </w:rPr>
      </w:pPr>
      <w:r>
        <w:rPr>
          <w:rFonts w:ascii="Palatino Linotype" w:hAnsi="Palatino Linotype"/>
        </w:rPr>
        <w:lastRenderedPageBreak/>
        <w:t>Introduction</w:t>
      </w:r>
    </w:p>
    <w:p w14:paraId="1642F9A5" w14:textId="77777777" w:rsidR="000E431B" w:rsidRDefault="000E431B" w:rsidP="000E431B">
      <w:pPr>
        <w:spacing w:after="0" w:line="240" w:lineRule="auto"/>
        <w:rPr>
          <w:rFonts w:ascii="Palatino Linotype" w:hAnsi="Palatino Linotype"/>
        </w:rPr>
      </w:pPr>
    </w:p>
    <w:p w14:paraId="3A9885AC" w14:textId="748B8242" w:rsidR="00E10705" w:rsidRDefault="000E431B" w:rsidP="000E431B">
      <w:pPr>
        <w:spacing w:after="0" w:line="480" w:lineRule="auto"/>
        <w:ind w:firstLine="720"/>
        <w:rPr>
          <w:rFonts w:ascii="Palatino Linotype" w:hAnsi="Palatino Linotype"/>
        </w:rPr>
      </w:pPr>
      <w:r>
        <w:rPr>
          <w:rFonts w:ascii="Palatino Linotype" w:hAnsi="Palatino Linotype"/>
        </w:rPr>
        <w:t>“Those who seek specific descriptions of the ‘good society’ will not find them</w:t>
      </w:r>
      <w:r w:rsidR="008050AD">
        <w:rPr>
          <w:rFonts w:ascii="Palatino Linotype" w:hAnsi="Palatino Linotype"/>
        </w:rPr>
        <w:t>…</w:t>
      </w:r>
      <w:r>
        <w:rPr>
          <w:rFonts w:ascii="Palatino Linotype" w:hAnsi="Palatino Linotype"/>
        </w:rPr>
        <w:t xml:space="preserve">” in the work of James Buchanan. He states so up front, on the first page of </w:t>
      </w:r>
      <w:r>
        <w:rPr>
          <w:rFonts w:ascii="Palatino Linotype" w:hAnsi="Palatino Linotype"/>
          <w:i/>
          <w:iCs/>
        </w:rPr>
        <w:t>The Limits of Liberty</w:t>
      </w:r>
      <w:r w:rsidR="007E1C67">
        <w:rPr>
          <w:rFonts w:ascii="Palatino Linotype" w:hAnsi="Palatino Linotype"/>
        </w:rPr>
        <w:t>.</w:t>
      </w:r>
      <w:r w:rsidR="00E10705">
        <w:rPr>
          <w:rStyle w:val="EndnoteReference"/>
          <w:rFonts w:ascii="Palatino Linotype" w:hAnsi="Palatino Linotype"/>
        </w:rPr>
        <w:endnoteReference w:id="1"/>
      </w:r>
      <w:r w:rsidR="00E10705">
        <w:rPr>
          <w:rFonts w:ascii="Palatino Linotype" w:hAnsi="Palatino Linotype"/>
        </w:rPr>
        <w:t xml:space="preserve"> Buchanan is ultimately a sort of moral non-realist, suspicious of any claim to objective moral truths and regarding the search for “truth in politics”</w:t>
      </w:r>
      <w:r w:rsidR="00E10705">
        <w:rPr>
          <w:rStyle w:val="EndnoteReference"/>
          <w:rFonts w:ascii="Palatino Linotype" w:hAnsi="Palatino Linotype"/>
        </w:rPr>
        <w:endnoteReference w:id="2"/>
      </w:r>
      <w:r w:rsidR="00E10705">
        <w:rPr>
          <w:rFonts w:ascii="Palatino Linotype" w:hAnsi="Palatino Linotype"/>
        </w:rPr>
        <w:t xml:space="preserve"> as a waste of time and an invitation to despotism. Instead, Buchanan posits that the individualist social theorist must take others’ preferences as givens and work from whatever they are towards some social arrangement that is Pareto-superior. In this respect, Buchanan can be seen either as a kind of contractarian or as a utilitarian who believes interpersonal utility comparisons to be impossible. For him, the important project is not defending some objectively justified arrangement of goods, rights, or even relationships, but rather showing what, after some initial stage-setting, will result as society proceeds via bargaining.</w:t>
      </w:r>
    </w:p>
    <w:p w14:paraId="6FB839CB" w14:textId="6195066D" w:rsidR="00E10705" w:rsidRDefault="00E10705" w:rsidP="0046593E">
      <w:pPr>
        <w:spacing w:after="0" w:line="480" w:lineRule="auto"/>
        <w:ind w:firstLine="720"/>
        <w:rPr>
          <w:rFonts w:ascii="Palatino Linotype" w:hAnsi="Palatino Linotype"/>
        </w:rPr>
      </w:pPr>
      <w:r>
        <w:rPr>
          <w:rFonts w:ascii="Palatino Linotype" w:hAnsi="Palatino Linotype"/>
        </w:rPr>
        <w:t xml:space="preserve">Throughout his career, Buchanan had different approaches to the question of how to justify the state. In his most famous work, </w:t>
      </w:r>
      <w:r>
        <w:rPr>
          <w:rFonts w:ascii="Palatino Linotype" w:hAnsi="Palatino Linotype"/>
          <w:i/>
          <w:iCs/>
        </w:rPr>
        <w:t>The Calculus of Consent,</w:t>
      </w:r>
      <w:r>
        <w:rPr>
          <w:rFonts w:ascii="Palatino Linotype" w:hAnsi="Palatino Linotype"/>
        </w:rPr>
        <w:t xml:space="preserve"> Buchanan and Tullock embark by saying they are (1) briefly describing a state as it ought to be, but mostly (2) articulating a theory of collective action.</w:t>
      </w:r>
      <w:r>
        <w:rPr>
          <w:rStyle w:val="EndnoteReference"/>
          <w:rFonts w:ascii="Palatino Linotype" w:hAnsi="Palatino Linotype"/>
        </w:rPr>
        <w:endnoteReference w:id="3"/>
      </w:r>
      <w:r>
        <w:rPr>
          <w:rFonts w:ascii="Palatino Linotype" w:hAnsi="Palatino Linotype"/>
        </w:rPr>
        <w:t xml:space="preserve"> It is not until later, in </w:t>
      </w:r>
      <w:r>
        <w:rPr>
          <w:rFonts w:ascii="Palatino Linotype" w:hAnsi="Palatino Linotype"/>
          <w:i/>
          <w:iCs/>
        </w:rPr>
        <w:t>The Limits of Liberty</w:t>
      </w:r>
      <w:r w:rsidRPr="005B2215">
        <w:rPr>
          <w:rFonts w:ascii="Palatino Linotype" w:hAnsi="Palatino Linotype"/>
        </w:rPr>
        <w:t>,</w:t>
      </w:r>
      <w:r>
        <w:rPr>
          <w:rFonts w:ascii="Palatino Linotype" w:hAnsi="Palatino Linotype"/>
        </w:rPr>
        <w:t xml:space="preserve"> that Buchanan more explicitly devotes his attention to the conceptual origins of the state and its justification. Because this work treats the establishment of a constitutional order, rather than mostly taking the constitutional order as given and </w:t>
      </w:r>
      <w:r>
        <w:rPr>
          <w:rFonts w:ascii="Palatino Linotype" w:hAnsi="Palatino Linotype"/>
        </w:rPr>
        <w:lastRenderedPageBreak/>
        <w:t xml:space="preserve">articulating an explanation for it, this chapter will serve as an explication of </w:t>
      </w:r>
      <w:r>
        <w:rPr>
          <w:rFonts w:ascii="Palatino Linotype" w:hAnsi="Palatino Linotype"/>
          <w:i/>
          <w:iCs/>
        </w:rPr>
        <w:t>The Limits of Liberty</w:t>
      </w:r>
      <w:r>
        <w:rPr>
          <w:rFonts w:ascii="Palatino Linotype" w:hAnsi="Palatino Linotype"/>
        </w:rPr>
        <w:t>, though frequent references to Buchanan’s other work will be necessary to illustrate and fill in his implicit thought process in some places.</w:t>
      </w:r>
    </w:p>
    <w:p w14:paraId="6BCA4712" w14:textId="07E652E2" w:rsidR="00E10705" w:rsidRDefault="00E10705" w:rsidP="0046593E">
      <w:pPr>
        <w:spacing w:after="0" w:line="480" w:lineRule="auto"/>
        <w:ind w:firstLine="720"/>
        <w:rPr>
          <w:rFonts w:ascii="Palatino Linotype" w:hAnsi="Palatino Linotype"/>
        </w:rPr>
      </w:pPr>
      <w:r w:rsidRPr="00604755">
        <w:rPr>
          <w:rFonts w:ascii="Palatino Linotype" w:hAnsi="Palatino Linotype"/>
        </w:rPr>
        <w:t xml:space="preserve">This chapter proceeds as follows. Section II </w:t>
      </w:r>
      <w:r>
        <w:rPr>
          <w:rFonts w:ascii="Palatino Linotype" w:hAnsi="Palatino Linotype"/>
        </w:rPr>
        <w:t>describes</w:t>
      </w:r>
      <w:r w:rsidRPr="00604755">
        <w:rPr>
          <w:rFonts w:ascii="Palatino Linotype" w:hAnsi="Palatino Linotype"/>
        </w:rPr>
        <w:t xml:space="preserve"> Buchanan's normative commitments, laying out how this brings his attention to the descriptive issue of </w:t>
      </w:r>
      <w:proofErr w:type="gramStart"/>
      <w:r w:rsidRPr="00604755">
        <w:rPr>
          <w:rFonts w:ascii="Palatino Linotype" w:hAnsi="Palatino Linotype"/>
        </w:rPr>
        <w:t>real world</w:t>
      </w:r>
      <w:proofErr w:type="gramEnd"/>
      <w:r w:rsidRPr="00604755">
        <w:rPr>
          <w:rFonts w:ascii="Palatino Linotype" w:hAnsi="Palatino Linotype"/>
        </w:rPr>
        <w:t xml:space="preserve"> change and the two</w:t>
      </w:r>
      <w:r>
        <w:rPr>
          <w:rFonts w:ascii="Palatino Linotype" w:hAnsi="Palatino Linotype"/>
        </w:rPr>
        <w:t>-</w:t>
      </w:r>
      <w:r w:rsidRPr="00604755">
        <w:rPr>
          <w:rFonts w:ascii="Palatino Linotype" w:hAnsi="Palatino Linotype"/>
        </w:rPr>
        <w:t>tier</w:t>
      </w:r>
      <w:r>
        <w:rPr>
          <w:rFonts w:ascii="Palatino Linotype" w:hAnsi="Palatino Linotype"/>
        </w:rPr>
        <w:t>ed</w:t>
      </w:r>
      <w:r w:rsidRPr="00604755">
        <w:rPr>
          <w:rFonts w:ascii="Palatino Linotype" w:hAnsi="Palatino Linotype"/>
        </w:rPr>
        <w:t xml:space="preserve"> analysis he conducts. Section III elaborates on how he models the bargain struck to create a state and his explanation of the relationship between rights and the state. Section IV elaborates on how he believes the state can legitimately extend beyond the protective function of a minimal state and persist over time. Section V concludes with a reflection on the similarity of Buchanan's argument to other thinkers but also his unique contribution.</w:t>
      </w:r>
    </w:p>
    <w:p w14:paraId="3017E333" w14:textId="6E2DDDE9" w:rsidR="00E10705" w:rsidRDefault="00E10705" w:rsidP="00882ED5">
      <w:pPr>
        <w:pStyle w:val="ListParagraph"/>
        <w:numPr>
          <w:ilvl w:val="0"/>
          <w:numId w:val="1"/>
        </w:numPr>
        <w:spacing w:after="0" w:line="480" w:lineRule="auto"/>
        <w:rPr>
          <w:rFonts w:ascii="Palatino Linotype" w:hAnsi="Palatino Linotype"/>
        </w:rPr>
      </w:pPr>
      <w:r>
        <w:rPr>
          <w:rFonts w:ascii="Palatino Linotype" w:hAnsi="Palatino Linotype"/>
        </w:rPr>
        <w:t>Methodologies and normative standards</w:t>
      </w:r>
    </w:p>
    <w:p w14:paraId="411FD122" w14:textId="0EC779A6" w:rsidR="00E10705" w:rsidRPr="004718D6" w:rsidRDefault="00E10705" w:rsidP="004718D6">
      <w:pPr>
        <w:spacing w:after="0" w:line="480" w:lineRule="auto"/>
        <w:ind w:firstLine="720"/>
        <w:rPr>
          <w:rFonts w:ascii="Palatino Linotype" w:hAnsi="Palatino Linotype"/>
        </w:rPr>
      </w:pPr>
      <w:r>
        <w:rPr>
          <w:rFonts w:ascii="Palatino Linotype" w:hAnsi="Palatino Linotype"/>
        </w:rPr>
        <w:t xml:space="preserve">Buchanan proceeds by acknowledging that he is somewhere between justifying the state’s existence and merely explaining its existence. His relatively sparse philosophical grounding drives him to be approximately as interested in the descriptive reasons for the state’s existence as whether its existence might be justified. In fact, to some extent, he </w:t>
      </w:r>
      <w:proofErr w:type="gramStart"/>
      <w:r>
        <w:rPr>
          <w:rFonts w:ascii="Palatino Linotype" w:hAnsi="Palatino Linotype"/>
        </w:rPr>
        <w:t>jettisons</w:t>
      </w:r>
      <w:proofErr w:type="gramEnd"/>
      <w:r>
        <w:rPr>
          <w:rFonts w:ascii="Palatino Linotype" w:hAnsi="Palatino Linotype"/>
        </w:rPr>
        <w:t xml:space="preserve"> concern over whether it is justified because of his acceptance of (or even resignation to) the fact of its existence.</w:t>
      </w:r>
    </w:p>
    <w:p w14:paraId="0B947BEF" w14:textId="7511347F" w:rsidR="00E10705" w:rsidRDefault="00E10705" w:rsidP="004718D6">
      <w:pPr>
        <w:pStyle w:val="ListParagraph"/>
        <w:numPr>
          <w:ilvl w:val="1"/>
          <w:numId w:val="1"/>
        </w:numPr>
        <w:spacing w:after="0" w:line="480" w:lineRule="auto"/>
        <w:rPr>
          <w:rFonts w:ascii="Palatino Linotype" w:hAnsi="Palatino Linotype"/>
        </w:rPr>
      </w:pPr>
      <w:r>
        <w:rPr>
          <w:rFonts w:ascii="Palatino Linotype" w:hAnsi="Palatino Linotype"/>
        </w:rPr>
        <w:t>Individualism and Subjectivism</w:t>
      </w:r>
    </w:p>
    <w:p w14:paraId="1C8490DA" w14:textId="1000E1DA" w:rsidR="00E10705" w:rsidRDefault="00E10705" w:rsidP="001B28E1">
      <w:pPr>
        <w:spacing w:after="0" w:line="480" w:lineRule="auto"/>
        <w:ind w:firstLine="720"/>
        <w:rPr>
          <w:rFonts w:ascii="Palatino Linotype" w:hAnsi="Palatino Linotype"/>
        </w:rPr>
      </w:pPr>
      <w:r>
        <w:rPr>
          <w:rFonts w:ascii="Palatino Linotype" w:hAnsi="Palatino Linotype"/>
        </w:rPr>
        <w:lastRenderedPageBreak/>
        <w:t xml:space="preserve">Buchanan is committed to a radical subjectivism about value and goodness. When discussing the source of moral obligations in an invited talk on “Cognition and Decision” </w:t>
      </w:r>
      <w:r>
        <w:rPr>
          <w:rStyle w:val="EndnoteReference"/>
          <w:rFonts w:ascii="Palatino Linotype" w:hAnsi="Palatino Linotype"/>
        </w:rPr>
        <w:endnoteReference w:id="4"/>
      </w:r>
      <w:r>
        <w:rPr>
          <w:rFonts w:ascii="Palatino Linotype" w:hAnsi="Palatino Linotype"/>
        </w:rPr>
        <w:t>, he says “</w:t>
      </w:r>
      <w:r w:rsidRPr="00B92311">
        <w:rPr>
          <w:rFonts w:ascii="Palatino Linotype" w:hAnsi="Palatino Linotype"/>
        </w:rPr>
        <w:t>I am not a moral philosopher in the sense that I can claim any competence in the derivation of moral or ethical precepts from transcendent sources of knowledge about values. Indeed, I remain highly skeptical about the very existence of such sources of moral values</w:t>
      </w:r>
      <w:r>
        <w:rPr>
          <w:rFonts w:ascii="Palatino Linotype" w:hAnsi="Palatino Linotype"/>
        </w:rPr>
        <w:t xml:space="preserve">[.]” Rather than pursue a justification for the state that bases his argument in its moral propriety, he begins with the belief that what is good for a person is what they think is good for them, i.e. what they </w:t>
      </w:r>
      <w:proofErr w:type="gramStart"/>
      <w:r>
        <w:rPr>
          <w:rFonts w:ascii="Palatino Linotype" w:hAnsi="Palatino Linotype"/>
        </w:rPr>
        <w:t>actually choose</w:t>
      </w:r>
      <w:proofErr w:type="gramEnd"/>
      <w:r>
        <w:rPr>
          <w:rFonts w:ascii="Palatino Linotype" w:hAnsi="Palatino Linotype"/>
        </w:rPr>
        <w:t xml:space="preserve">. </w:t>
      </w:r>
    </w:p>
    <w:p w14:paraId="74B3B96F" w14:textId="01FE6A45" w:rsidR="00E10705" w:rsidRDefault="00E10705" w:rsidP="001B28E1">
      <w:pPr>
        <w:spacing w:after="0" w:line="480" w:lineRule="auto"/>
        <w:ind w:firstLine="720"/>
        <w:rPr>
          <w:rFonts w:ascii="Palatino Linotype" w:hAnsi="Palatino Linotype"/>
        </w:rPr>
      </w:pPr>
      <w:r>
        <w:rPr>
          <w:rFonts w:ascii="Palatino Linotype" w:hAnsi="Palatino Linotype"/>
        </w:rPr>
        <w:t>To complicate matters, Buchanan believes that a person’s preferences are not fixed or static but only created and acted upon in the moment of choice, a radically subjectivist view he takes from the influences of G. L. S. Shackle and Frank Knight.</w:t>
      </w:r>
      <w:r>
        <w:rPr>
          <w:rStyle w:val="EndnoteReference"/>
          <w:rFonts w:ascii="Palatino Linotype" w:hAnsi="Palatino Linotype"/>
        </w:rPr>
        <w:endnoteReference w:id="5"/>
      </w:r>
      <w:r>
        <w:rPr>
          <w:rFonts w:ascii="Palatino Linotype" w:hAnsi="Palatino Linotype"/>
        </w:rPr>
        <w:t xml:space="preserve"> Individuals can be regarded as self-consistent rational maximizers in retrospect, justifying the use of standard microeconomic analysis in terms of utility functions, but cannot be so analyzed in prospect as people may aspire to have “better” preferences by some standard. He even goes so far as to claim that because individuals’ well-</w:t>
      </w:r>
      <w:proofErr w:type="gramStart"/>
      <w:r>
        <w:rPr>
          <w:rFonts w:ascii="Palatino Linotype" w:hAnsi="Palatino Linotype"/>
        </w:rPr>
        <w:t>beings</w:t>
      </w:r>
      <w:proofErr w:type="gramEnd"/>
      <w:r>
        <w:rPr>
          <w:rFonts w:ascii="Palatino Linotype" w:hAnsi="Palatino Linotype"/>
        </w:rPr>
        <w:t xml:space="preserve"> are defined by what they themselves regard as choice-worthy, what counts as an orderly society can only be known as the result of a market process in which they choose it.</w:t>
      </w:r>
      <w:r>
        <w:rPr>
          <w:rStyle w:val="EndnoteReference"/>
          <w:rFonts w:ascii="Palatino Linotype" w:hAnsi="Palatino Linotype"/>
        </w:rPr>
        <w:endnoteReference w:id="6"/>
      </w:r>
    </w:p>
    <w:p w14:paraId="534CDC17" w14:textId="458DF479" w:rsidR="00E10705" w:rsidRDefault="00E10705" w:rsidP="00B1072B">
      <w:pPr>
        <w:spacing w:after="0" w:line="480" w:lineRule="auto"/>
        <w:ind w:firstLine="360"/>
        <w:rPr>
          <w:rFonts w:ascii="Palatino Linotype" w:hAnsi="Palatino Linotype"/>
        </w:rPr>
      </w:pPr>
      <w:r>
        <w:rPr>
          <w:rFonts w:ascii="Palatino Linotype" w:hAnsi="Palatino Linotype"/>
        </w:rPr>
        <w:tab/>
        <w:t xml:space="preserve">How, then, can any social order be justified? For Buchanan, there is no objective standard by which to judge </w:t>
      </w:r>
      <w:proofErr w:type="gramStart"/>
      <w:r>
        <w:rPr>
          <w:rFonts w:ascii="Palatino Linotype" w:hAnsi="Palatino Linotype"/>
        </w:rPr>
        <w:t>it</w:t>
      </w:r>
      <w:proofErr w:type="gramEnd"/>
      <w:r>
        <w:rPr>
          <w:rFonts w:ascii="Palatino Linotype" w:hAnsi="Palatino Linotype"/>
        </w:rPr>
        <w:t xml:space="preserve"> and there is not even a stable subjective set of preferences to which a given individual might refer in evaluating states of the world. He rejects the </w:t>
      </w:r>
      <w:r>
        <w:rPr>
          <w:rFonts w:ascii="Palatino Linotype" w:hAnsi="Palatino Linotype"/>
        </w:rPr>
        <w:lastRenderedPageBreak/>
        <w:t>possibility of an overall preference ranking joining individuals’ utility functions into an overall social welfare function and even decries the approach as “</w:t>
      </w:r>
      <w:r w:rsidRPr="00B1072B">
        <w:rPr>
          <w:rFonts w:ascii="Palatino Linotype" w:hAnsi="Palatino Linotype"/>
        </w:rPr>
        <w:t>contrary to one of the</w:t>
      </w:r>
      <w:r>
        <w:rPr>
          <w:rFonts w:ascii="Palatino Linotype" w:hAnsi="Palatino Linotype"/>
        </w:rPr>
        <w:t xml:space="preserve"> </w:t>
      </w:r>
      <w:r w:rsidRPr="00B1072B">
        <w:rPr>
          <w:rFonts w:ascii="Palatino Linotype" w:hAnsi="Palatino Linotype"/>
        </w:rPr>
        <w:t>presuppositions</w:t>
      </w:r>
      <w:r>
        <w:rPr>
          <w:rFonts w:ascii="Palatino Linotype" w:hAnsi="Palatino Linotype"/>
        </w:rPr>
        <w:t xml:space="preserve"> of the free society.”</w:t>
      </w:r>
      <w:r>
        <w:rPr>
          <w:rStyle w:val="EndnoteReference"/>
          <w:rFonts w:ascii="Palatino Linotype" w:hAnsi="Palatino Linotype"/>
        </w:rPr>
        <w:endnoteReference w:id="7"/>
      </w:r>
      <w:r>
        <w:rPr>
          <w:rFonts w:ascii="Palatino Linotype" w:hAnsi="Palatino Linotype"/>
        </w:rPr>
        <w:t xml:space="preserve"> In this regard, Buchanan is a radical individualist. Although his standard of evaluation is a quasi-utilitarian preference satisfaction view, his belief that preferences must be expressed in choice to be genuine and his belief that interpersonal utility comparisons are impossible leave him with only one standard by which changes can be evaluated: whether they were voluntarily chosen over some alternative. For a change in the world to be an improvement for an individual, it cannot be imposed on them from outside. Their sphere of influence must be acknowledged, and then only by their consenting to a change can it be known that the change is an improvement (assuming the agent’s </w:t>
      </w:r>
      <w:r w:rsidRPr="00794CBC">
        <w:rPr>
          <w:rFonts w:ascii="Palatino Linotype" w:hAnsi="Palatino Linotype"/>
          <w:i/>
          <w:iCs/>
        </w:rPr>
        <w:t>ex ante</w:t>
      </w:r>
      <w:r>
        <w:rPr>
          <w:rFonts w:ascii="Palatino Linotype" w:hAnsi="Palatino Linotype"/>
        </w:rPr>
        <w:t xml:space="preserve"> beliefs about the change prove accurate </w:t>
      </w:r>
      <w:r w:rsidRPr="00794CBC">
        <w:rPr>
          <w:rFonts w:ascii="Palatino Linotype" w:hAnsi="Palatino Linotype"/>
          <w:i/>
          <w:iCs/>
        </w:rPr>
        <w:t>ex post</w:t>
      </w:r>
      <w:r>
        <w:rPr>
          <w:rFonts w:ascii="Palatino Linotype" w:hAnsi="Palatino Linotype"/>
        </w:rPr>
        <w:t>).</w:t>
      </w:r>
    </w:p>
    <w:p w14:paraId="1A187EB0" w14:textId="434DE76F" w:rsidR="00E10705" w:rsidRDefault="00E10705" w:rsidP="00E912F1">
      <w:pPr>
        <w:spacing w:after="0" w:line="480" w:lineRule="auto"/>
        <w:ind w:firstLine="360"/>
        <w:rPr>
          <w:rFonts w:ascii="Palatino Linotype" w:hAnsi="Palatino Linotype"/>
        </w:rPr>
      </w:pPr>
      <w:r>
        <w:rPr>
          <w:rFonts w:ascii="Palatino Linotype" w:hAnsi="Palatino Linotype"/>
        </w:rPr>
        <w:tab/>
        <w:t xml:space="preserve">Buchanan explicitly identifies this attitude with both the anarchist and the individualist impulse in his work. He identifies the impulse to respect some values (held by some individuals) and not respect others </w:t>
      </w:r>
      <w:proofErr w:type="gramStart"/>
      <w:r>
        <w:rPr>
          <w:rFonts w:ascii="Palatino Linotype" w:hAnsi="Palatino Linotype"/>
        </w:rPr>
        <w:t>with weighting</w:t>
      </w:r>
      <w:proofErr w:type="gramEnd"/>
      <w:r>
        <w:rPr>
          <w:rFonts w:ascii="Palatino Linotype" w:hAnsi="Palatino Linotype"/>
        </w:rPr>
        <w:t xml:space="preserve"> individuals differently in a social welfare function and says this is </w:t>
      </w:r>
      <w:proofErr w:type="spellStart"/>
      <w:r>
        <w:rPr>
          <w:rFonts w:ascii="Palatino Linotype" w:hAnsi="Palatino Linotype"/>
        </w:rPr>
        <w:t>unindividualistic</w:t>
      </w:r>
      <w:proofErr w:type="spellEnd"/>
      <w:r>
        <w:rPr>
          <w:rFonts w:ascii="Palatino Linotype" w:hAnsi="Palatino Linotype"/>
        </w:rPr>
        <w:t>.</w:t>
      </w:r>
      <w:r>
        <w:rPr>
          <w:rStyle w:val="EndnoteReference"/>
          <w:rFonts w:ascii="Palatino Linotype" w:hAnsi="Palatino Linotype"/>
        </w:rPr>
        <w:endnoteReference w:id="8"/>
      </w:r>
      <w:r>
        <w:rPr>
          <w:rFonts w:ascii="Palatino Linotype" w:hAnsi="Palatino Linotype"/>
        </w:rPr>
        <w:t xml:space="preserve"> Thus, </w:t>
      </w:r>
      <w:proofErr w:type="gramStart"/>
      <w:r>
        <w:rPr>
          <w:rFonts w:ascii="Palatino Linotype" w:hAnsi="Palatino Linotype"/>
        </w:rPr>
        <w:t>each individual</w:t>
      </w:r>
      <w:proofErr w:type="gramEnd"/>
      <w:r>
        <w:rPr>
          <w:rFonts w:ascii="Palatino Linotype" w:hAnsi="Palatino Linotype"/>
        </w:rPr>
        <w:t xml:space="preserve"> must be </w:t>
      </w:r>
      <w:proofErr w:type="gramStart"/>
      <w:r>
        <w:rPr>
          <w:rFonts w:ascii="Palatino Linotype" w:hAnsi="Palatino Linotype"/>
        </w:rPr>
        <w:t>weighted</w:t>
      </w:r>
      <w:proofErr w:type="gramEnd"/>
      <w:r>
        <w:rPr>
          <w:rFonts w:ascii="Palatino Linotype" w:hAnsi="Palatino Linotype"/>
        </w:rPr>
        <w:t xml:space="preserve"> the same as any other, with their desires and preferences respected all the same. This he identifies with his democratic impulse, referring to an “individualist-democratic methodology” and </w:t>
      </w:r>
      <w:proofErr w:type="gramStart"/>
      <w:r>
        <w:rPr>
          <w:rFonts w:ascii="Palatino Linotype" w:hAnsi="Palatino Linotype"/>
        </w:rPr>
        <w:t>saying</w:t>
      </w:r>
      <w:proofErr w:type="gramEnd"/>
      <w:r>
        <w:rPr>
          <w:rFonts w:ascii="Palatino Linotype" w:hAnsi="Palatino Linotype"/>
        </w:rPr>
        <w:t xml:space="preserve"> “</w:t>
      </w:r>
      <w:r w:rsidRPr="00E912F1">
        <w:rPr>
          <w:rFonts w:ascii="Palatino Linotype" w:hAnsi="Palatino Linotype"/>
        </w:rPr>
        <w:t xml:space="preserve">The dominant role of individual </w:t>
      </w:r>
      <w:r w:rsidRPr="00E912F1">
        <w:rPr>
          <w:rFonts w:ascii="Palatino Linotype" w:hAnsi="Palatino Linotype"/>
        </w:rPr>
        <w:lastRenderedPageBreak/>
        <w:t>liberty is imposed by an acceptance of the methodology of individualism and not by the subjective valuations of this or that social philosopher.</w:t>
      </w:r>
      <w:r>
        <w:rPr>
          <w:rFonts w:ascii="Palatino Linotype" w:hAnsi="Palatino Linotype"/>
        </w:rPr>
        <w:t>”</w:t>
      </w:r>
      <w:r>
        <w:rPr>
          <w:rStyle w:val="EndnoteReference"/>
          <w:rFonts w:ascii="Palatino Linotype" w:hAnsi="Palatino Linotype"/>
        </w:rPr>
        <w:endnoteReference w:id="9"/>
      </w:r>
    </w:p>
    <w:p w14:paraId="03CD3686" w14:textId="1D277E13" w:rsidR="00E10705" w:rsidRPr="00954E74" w:rsidRDefault="00E10705" w:rsidP="004718D6">
      <w:pPr>
        <w:pStyle w:val="ListParagraph"/>
        <w:numPr>
          <w:ilvl w:val="1"/>
          <w:numId w:val="1"/>
        </w:numPr>
        <w:spacing w:after="0" w:line="480" w:lineRule="auto"/>
        <w:rPr>
          <w:rFonts w:ascii="Palatino Linotype" w:hAnsi="Palatino Linotype"/>
        </w:rPr>
      </w:pPr>
      <w:r>
        <w:rPr>
          <w:rFonts w:ascii="Palatino Linotype" w:hAnsi="Palatino Linotype"/>
        </w:rPr>
        <w:t>Unanimity and the Status Quo</w:t>
      </w:r>
    </w:p>
    <w:p w14:paraId="5A40EE0B" w14:textId="6C8E5028" w:rsidR="00E10705" w:rsidRPr="00085D3D" w:rsidRDefault="00E10705" w:rsidP="007D5578">
      <w:pPr>
        <w:spacing w:after="0" w:line="480" w:lineRule="auto"/>
        <w:ind w:firstLine="360"/>
        <w:rPr>
          <w:rFonts w:ascii="Palatino Linotype" w:hAnsi="Palatino Linotype"/>
        </w:rPr>
      </w:pPr>
      <w:r>
        <w:rPr>
          <w:rFonts w:ascii="Palatino Linotype" w:hAnsi="Palatino Linotype"/>
        </w:rPr>
        <w:tab/>
        <w:t xml:space="preserve">The individualist-democratic methodology leads to the conclusion that any voluntary bilateral interaction between individuals, including the exchange of rights to various goods, positions, or decisions, is justified by the expectation on both sides of the interaction to benefit. It is trickier to define what forms of interaction are beneficial when more than two people are involved, as there may be divergences of preferences about the common project and no means of trading off between them. For Buchanan, the solution is </w:t>
      </w:r>
      <w:proofErr w:type="gramStart"/>
      <w:r>
        <w:rPr>
          <w:rFonts w:ascii="Palatino Linotype" w:hAnsi="Palatino Linotype"/>
        </w:rPr>
        <w:t>a</w:t>
      </w:r>
      <w:proofErr w:type="gramEnd"/>
      <w:r>
        <w:rPr>
          <w:rFonts w:ascii="Palatino Linotype" w:hAnsi="Palatino Linotype"/>
        </w:rPr>
        <w:t xml:space="preserve"> unanimity rule. Only through unanimous decisions can we know that a change involving multiple parties is universally beneficial. If even one individual objects, it cannot be known that the change was beneficial, even if the objection is overruled by some kind of vote. In fact, </w:t>
      </w:r>
      <w:proofErr w:type="gramStart"/>
      <w:r>
        <w:rPr>
          <w:rFonts w:ascii="Palatino Linotype" w:hAnsi="Palatino Linotype"/>
        </w:rPr>
        <w:t>the bilateral</w:t>
      </w:r>
      <w:proofErr w:type="gramEnd"/>
      <w:r>
        <w:rPr>
          <w:rFonts w:ascii="Palatino Linotype" w:hAnsi="Palatino Linotype"/>
        </w:rPr>
        <w:t xml:space="preserve"> interaction is only a special case of the unanimity rule. Mutual consent in exchange </w:t>
      </w:r>
      <w:r w:rsidRPr="003C43EB">
        <w:rPr>
          <w:rFonts w:ascii="Palatino Linotype" w:hAnsi="Palatino Linotype"/>
          <w:i/>
          <w:iCs/>
        </w:rPr>
        <w:t>is</w:t>
      </w:r>
      <w:r>
        <w:rPr>
          <w:rFonts w:ascii="Palatino Linotype" w:hAnsi="Palatino Linotype"/>
        </w:rPr>
        <w:t xml:space="preserve"> a unanimous vote for a change. One can narrow this further and observe that decisions an individual makes wholly within their private sphere are unanimous decisions as well. In </w:t>
      </w:r>
      <w:r>
        <w:rPr>
          <w:rFonts w:ascii="Palatino Linotype" w:hAnsi="Palatino Linotype"/>
          <w:i/>
          <w:iCs/>
        </w:rPr>
        <w:t>The Limits of Liberty</w:t>
      </w:r>
      <w:r>
        <w:rPr>
          <w:rFonts w:ascii="Palatino Linotype" w:hAnsi="Palatino Linotype"/>
        </w:rPr>
        <w:t>, however, Buchanan notes that the simplicity of this is a “mirage” as much of the problem to overcome is precisely in defining the line between the public and the private.</w:t>
      </w:r>
      <w:r>
        <w:rPr>
          <w:rStyle w:val="EndnoteReference"/>
          <w:rFonts w:ascii="Palatino Linotype" w:hAnsi="Palatino Linotype"/>
        </w:rPr>
        <w:endnoteReference w:id="10"/>
      </w:r>
    </w:p>
    <w:p w14:paraId="531309C6" w14:textId="0789EDF5" w:rsidR="00E10705" w:rsidRDefault="00E10705" w:rsidP="007D5578">
      <w:pPr>
        <w:spacing w:after="0" w:line="480" w:lineRule="auto"/>
        <w:ind w:firstLine="360"/>
        <w:rPr>
          <w:rFonts w:ascii="Palatino Linotype" w:hAnsi="Palatino Linotype"/>
        </w:rPr>
      </w:pPr>
      <w:r>
        <w:rPr>
          <w:rFonts w:ascii="Palatino Linotype" w:hAnsi="Palatino Linotype"/>
        </w:rPr>
        <w:tab/>
        <w:t xml:space="preserve">The trouble with the unanimity approach arises primarily in two areas, the first of which is the practicality of unanimous decision making given the costliness of </w:t>
      </w:r>
      <w:r>
        <w:rPr>
          <w:rFonts w:ascii="Palatino Linotype" w:hAnsi="Palatino Linotype"/>
        </w:rPr>
        <w:lastRenderedPageBreak/>
        <w:t xml:space="preserve">bargaining (most obviously in time spent bargaining but also in paying off bad faith holdouts). Buchanan’s solution with Tullock in </w:t>
      </w:r>
      <w:r>
        <w:rPr>
          <w:rFonts w:ascii="Palatino Linotype" w:hAnsi="Palatino Linotype"/>
          <w:i/>
          <w:iCs/>
        </w:rPr>
        <w:t>The Calculus</w:t>
      </w:r>
      <w:r>
        <w:rPr>
          <w:rFonts w:ascii="Palatino Linotype" w:hAnsi="Palatino Linotype"/>
        </w:rPr>
        <w:t xml:space="preserve"> is to divide the analysis of political institutions into two levels: setting the constitutional order and post-constitutional bargaining </w:t>
      </w:r>
      <w:r>
        <w:rPr>
          <w:rStyle w:val="EndnoteReference"/>
          <w:rFonts w:ascii="Palatino Linotype" w:hAnsi="Palatino Linotype"/>
        </w:rPr>
        <w:endnoteReference w:id="11"/>
      </w:r>
      <w:r>
        <w:rPr>
          <w:rFonts w:ascii="Palatino Linotype" w:hAnsi="Palatino Linotype"/>
        </w:rPr>
        <w:t xml:space="preserve"> or what may be called “operational” politics.</w:t>
      </w:r>
      <w:r>
        <w:rPr>
          <w:rStyle w:val="EndnoteReference"/>
          <w:rFonts w:ascii="Palatino Linotype" w:hAnsi="Palatino Linotype"/>
        </w:rPr>
        <w:endnoteReference w:id="12"/>
      </w:r>
      <w:r>
        <w:rPr>
          <w:rFonts w:ascii="Palatino Linotype" w:hAnsi="Palatino Linotype"/>
        </w:rPr>
        <w:t xml:space="preserve"> If the constitutional order is unanimously agreed to with full knowledge that one may be overruled in some matter at a later date, then it is reasonable to conclude that the overall package of social order is justified as an improvement over what came before it. Individuals may be displeased moment to moment, but the beneficial exchanges and cost savings on protection that are possible within the constitutional order will be expected to outweigh the costs of not always getting one’s way.</w:t>
      </w:r>
    </w:p>
    <w:p w14:paraId="05D5D236" w14:textId="09DF23DC" w:rsidR="00E10705" w:rsidRDefault="00E10705" w:rsidP="00954E74">
      <w:pPr>
        <w:spacing w:after="0" w:line="480" w:lineRule="auto"/>
        <w:ind w:firstLine="720"/>
        <w:rPr>
          <w:rFonts w:ascii="Palatino Linotype" w:hAnsi="Palatino Linotype"/>
        </w:rPr>
      </w:pPr>
      <w:r>
        <w:rPr>
          <w:rFonts w:ascii="Palatino Linotype" w:hAnsi="Palatino Linotype"/>
        </w:rPr>
        <w:t xml:space="preserve">The more difficult problem Buchanan must overcome is that of the initial distribution of rights, and this is the focus of much of his attention in </w:t>
      </w:r>
      <w:r>
        <w:rPr>
          <w:rFonts w:ascii="Palatino Linotype" w:hAnsi="Palatino Linotype"/>
          <w:i/>
          <w:iCs/>
        </w:rPr>
        <w:t>The Limits of Liberty</w:t>
      </w:r>
      <w:r>
        <w:rPr>
          <w:rFonts w:ascii="Palatino Linotype" w:hAnsi="Palatino Linotype"/>
        </w:rPr>
        <w:t xml:space="preserve">. Without defining some initial distribution, there can be little negotiation as conflict will continue until initial rights are sufficiently clearly specified. Here, in addition to conceptually separating the constitutional level of analysis from operational politics, he conceptually separates the establishment of a constitutional order, a sort of leap out of Hobbesian anarchy, from the subsequent bargaining to some social optimum </w:t>
      </w:r>
      <w:r w:rsidRPr="008774AC">
        <w:rPr>
          <w:rFonts w:ascii="Palatino Linotype" w:hAnsi="Palatino Linotype"/>
        </w:rPr>
        <w:t>given</w:t>
      </w:r>
      <w:r>
        <w:rPr>
          <w:rFonts w:ascii="Palatino Linotype" w:hAnsi="Palatino Linotype"/>
        </w:rPr>
        <w:t xml:space="preserve"> the distribution that results from the anarchic stage.</w:t>
      </w:r>
      <w:r>
        <w:rPr>
          <w:rStyle w:val="EndnoteReference"/>
          <w:rFonts w:ascii="Palatino Linotype" w:hAnsi="Palatino Linotype"/>
        </w:rPr>
        <w:endnoteReference w:id="13"/>
      </w:r>
      <w:r>
        <w:rPr>
          <w:rFonts w:ascii="Palatino Linotype" w:hAnsi="Palatino Linotype"/>
        </w:rPr>
        <w:t xml:space="preserve"> He describes a “natural distribution” that might emerge from the recognition of each party’s ability to impose its desires on others. Those with a greater capacity for violence will be better </w:t>
      </w:r>
      <w:r>
        <w:rPr>
          <w:rFonts w:ascii="Palatino Linotype" w:hAnsi="Palatino Linotype"/>
        </w:rPr>
        <w:lastRenderedPageBreak/>
        <w:t>able to get their way, but all will desire to eliminate expenditure of resources on violence, and so reciprocal recognition of the “rights” of others to their portion of the natural distribution may arise from the logic of an iterated asymmetric prisoner’s dilemma. Knowing that bilateral return to conflict will necessitate expenditure on violence, individuals may choose to avoid unilateral disrespect of the “rights” established by the natural distribution.</w:t>
      </w:r>
    </w:p>
    <w:p w14:paraId="64E0C466" w14:textId="2637EEF6" w:rsidR="00E10705" w:rsidRDefault="00E10705" w:rsidP="00A41264">
      <w:pPr>
        <w:spacing w:after="0" w:line="480" w:lineRule="auto"/>
        <w:ind w:firstLine="720"/>
        <w:rPr>
          <w:rFonts w:ascii="Palatino Linotype" w:hAnsi="Palatino Linotype"/>
        </w:rPr>
      </w:pPr>
      <w:r>
        <w:rPr>
          <w:rFonts w:ascii="Palatino Linotype" w:hAnsi="Palatino Linotype"/>
        </w:rPr>
        <w:t>However, there is no reason to think that the allocation of goods in the natural distribution is Pareto-optimal. The natural distribution is based not on preferences about the goods but on differential abilities to obtain and keep them. In the post-constitutional order, further bargaining may be possible to effect Pareto improvements. Indeed, shared goods can even become possible to generate in this setting, as the natural distribution may assign one party the ability to produce a good which they can provide for the other should they be willing to compensate the producer. In the case of two people exiting Hobbesian anarchy, the best possible arrangement has likely been achieved at the end of this bargaining process.</w:t>
      </w:r>
    </w:p>
    <w:p w14:paraId="18552C04" w14:textId="070D5457" w:rsidR="00E10705" w:rsidRDefault="00E10705" w:rsidP="00485DF9">
      <w:pPr>
        <w:spacing w:after="0" w:line="480" w:lineRule="auto"/>
        <w:ind w:firstLine="720"/>
        <w:rPr>
          <w:rFonts w:ascii="Palatino Linotype" w:hAnsi="Palatino Linotype"/>
        </w:rPr>
      </w:pPr>
      <w:r>
        <w:rPr>
          <w:rFonts w:ascii="Palatino Linotype" w:hAnsi="Palatino Linotype"/>
        </w:rPr>
        <w:t xml:space="preserve">Among the notable features of this line of reasoning is that it takes </w:t>
      </w:r>
      <w:proofErr w:type="gramStart"/>
      <w:r>
        <w:rPr>
          <w:rFonts w:ascii="Palatino Linotype" w:hAnsi="Palatino Linotype"/>
        </w:rPr>
        <w:t>the natural</w:t>
      </w:r>
      <w:proofErr w:type="gramEnd"/>
      <w:r>
        <w:rPr>
          <w:rFonts w:ascii="Palatino Linotype" w:hAnsi="Palatino Linotype"/>
        </w:rPr>
        <w:t xml:space="preserve"> distribution as a benchmark irrespective of its normative desirability. Elsewhere, Buchanan explicitly acknowledges this, saying “Any proposal for change </w:t>
      </w:r>
      <w:r w:rsidRPr="00485DF9">
        <w:rPr>
          <w:rFonts w:ascii="Palatino Linotype" w:hAnsi="Palatino Linotype"/>
        </w:rPr>
        <w:t xml:space="preserve">involves the status quo as the necessary starting point. </w:t>
      </w:r>
      <w:r>
        <w:rPr>
          <w:rFonts w:ascii="Palatino Linotype" w:hAnsi="Palatino Linotype"/>
        </w:rPr>
        <w:t>‘</w:t>
      </w:r>
      <w:r w:rsidRPr="00485DF9">
        <w:rPr>
          <w:rFonts w:ascii="Palatino Linotype" w:hAnsi="Palatino Linotype"/>
        </w:rPr>
        <w:t>We start from here</w:t>
      </w:r>
      <w:r>
        <w:rPr>
          <w:rFonts w:ascii="Palatino Linotype" w:hAnsi="Palatino Linotype"/>
        </w:rPr>
        <w:t>,’</w:t>
      </w:r>
      <w:r w:rsidRPr="00485DF9">
        <w:rPr>
          <w:rFonts w:ascii="Palatino Linotype" w:hAnsi="Palatino Linotype"/>
        </w:rPr>
        <w:t xml:space="preserve"> and not from someplace else.</w:t>
      </w:r>
      <w:r>
        <w:rPr>
          <w:rFonts w:ascii="Palatino Linotype" w:hAnsi="Palatino Linotype"/>
        </w:rPr>
        <w:t>”</w:t>
      </w:r>
      <w:r>
        <w:rPr>
          <w:rStyle w:val="EndnoteReference"/>
          <w:rFonts w:ascii="Palatino Linotype" w:hAnsi="Palatino Linotype"/>
        </w:rPr>
        <w:endnoteReference w:id="14"/>
      </w:r>
      <w:r>
        <w:rPr>
          <w:rFonts w:ascii="Palatino Linotype" w:hAnsi="Palatino Linotype"/>
        </w:rPr>
        <w:t xml:space="preserve"> In other words, one may lament that the natural distribution is set in the way it </w:t>
      </w:r>
      <w:r>
        <w:rPr>
          <w:rFonts w:ascii="Palatino Linotype" w:hAnsi="Palatino Linotype"/>
        </w:rPr>
        <w:lastRenderedPageBreak/>
        <w:t>is or has the structure it has, but starting from the initial distribution of rights is inevitable. The absence of a state at the beginning of human history is a historical given. Fundamentally, this initial distribution of rights is not an object of choice for the social theorist but a starting point from which all subsequent changes, preferred by whatever standard, must begin. This inevitability of the status quo is characteristic of Buchanan’s thinking. The state is not the creator of property claims, much less any kind of source of their justification. Government’s purpose is to enforce property claims that are set by some other entity or process.</w:t>
      </w:r>
    </w:p>
    <w:p w14:paraId="10FDA7A1" w14:textId="2AE38997" w:rsidR="00E10705" w:rsidRDefault="00E10705" w:rsidP="00302904">
      <w:pPr>
        <w:pStyle w:val="ListParagraph"/>
        <w:numPr>
          <w:ilvl w:val="0"/>
          <w:numId w:val="1"/>
        </w:numPr>
        <w:spacing w:after="0" w:line="480" w:lineRule="auto"/>
        <w:rPr>
          <w:rFonts w:ascii="Palatino Linotype" w:hAnsi="Palatino Linotype"/>
        </w:rPr>
      </w:pPr>
      <w:r>
        <w:rPr>
          <w:rFonts w:ascii="Palatino Linotype" w:hAnsi="Palatino Linotype"/>
        </w:rPr>
        <w:t>Anarchic bargaining to the state</w:t>
      </w:r>
    </w:p>
    <w:p w14:paraId="095C056E" w14:textId="22260125" w:rsidR="00E10705" w:rsidRDefault="00E10705" w:rsidP="009D5CBC">
      <w:pPr>
        <w:spacing w:after="0" w:line="480" w:lineRule="auto"/>
        <w:ind w:firstLine="720"/>
        <w:rPr>
          <w:rFonts w:ascii="Palatino Linotype" w:hAnsi="Palatino Linotype"/>
        </w:rPr>
      </w:pPr>
      <w:r>
        <w:rPr>
          <w:rFonts w:ascii="Palatino Linotype" w:hAnsi="Palatino Linotype"/>
        </w:rPr>
        <w:t xml:space="preserve">The foregoing analysis applies most readily to a process involving only two parties. In fact, the primary mechanism ensuring respect for individuals’ claims is simply the discipline of repeat dealings. It would be difficult, therefore, to even call this a state. Buchanan thinks about the objective of a social organization as being a kind of “ordered anarchy” (p. xvi) where the state is an umpire, not an organizing principle. Nonetheless, he does believe a state will result from this kind of bargaining and be to the benefit of society so long as it can be constrained to </w:t>
      </w:r>
      <w:proofErr w:type="gramStart"/>
      <w:r>
        <w:rPr>
          <w:rFonts w:ascii="Palatino Linotype" w:hAnsi="Palatino Linotype"/>
        </w:rPr>
        <w:t>respecting</w:t>
      </w:r>
      <w:proofErr w:type="gramEnd"/>
      <w:r>
        <w:rPr>
          <w:rFonts w:ascii="Palatino Linotype" w:hAnsi="Palatino Linotype"/>
        </w:rPr>
        <w:t xml:space="preserve"> the constitutional order.</w:t>
      </w:r>
    </w:p>
    <w:p w14:paraId="48EADABE" w14:textId="5CD6AC73" w:rsidR="00E10705" w:rsidRDefault="00E10705" w:rsidP="009D5CBC">
      <w:pPr>
        <w:spacing w:after="0" w:line="480" w:lineRule="auto"/>
        <w:ind w:firstLine="720"/>
        <w:rPr>
          <w:rFonts w:ascii="Palatino Linotype" w:hAnsi="Palatino Linotype"/>
        </w:rPr>
      </w:pPr>
      <w:r>
        <w:rPr>
          <w:rFonts w:ascii="Palatino Linotype" w:hAnsi="Palatino Linotype"/>
        </w:rPr>
        <w:t xml:space="preserve">A more state-like arrangement becomes necessary in the many-person case with the possibility of public goods, i.e. the </w:t>
      </w:r>
      <w:proofErr w:type="gramStart"/>
      <w:r>
        <w:rPr>
          <w:rFonts w:ascii="Palatino Linotype" w:hAnsi="Palatino Linotype"/>
        </w:rPr>
        <w:t>aforementioned shared</w:t>
      </w:r>
      <w:proofErr w:type="gramEnd"/>
      <w:r>
        <w:rPr>
          <w:rFonts w:ascii="Palatino Linotype" w:hAnsi="Palatino Linotype"/>
        </w:rPr>
        <w:t xml:space="preserve"> goods whose benefits extend to all or some considerable proportion of the new polity. If all individuals have </w:t>
      </w:r>
      <w:r>
        <w:rPr>
          <w:rFonts w:ascii="Palatino Linotype" w:hAnsi="Palatino Linotype"/>
        </w:rPr>
        <w:lastRenderedPageBreak/>
        <w:t>the same preferences regarding the amount and kind of public goods to be produced, no problem arises. However, an individual may prefer to be excluded from the benefits of a public good if it also means exemption from the costs of its production. Assuming this to be impossible for the sake of argument, Buchanan argues that establishing a “social contract” to exit Hobbesian anarchy must include a sort of proviso that one’s rights do not include those which are necessary to “violate” in order to provide the public goods that operational politics selects for production.</w:t>
      </w:r>
      <w:r>
        <w:rPr>
          <w:rStyle w:val="EndnoteReference"/>
          <w:rFonts w:ascii="Palatino Linotype" w:hAnsi="Palatino Linotype"/>
        </w:rPr>
        <w:endnoteReference w:id="15"/>
      </w:r>
      <w:r>
        <w:rPr>
          <w:rFonts w:ascii="Palatino Linotype" w:hAnsi="Palatino Linotype"/>
        </w:rPr>
        <w:t xml:space="preserve"> Once again, the (in)justice of such a proviso is less relevant than its necessity for escaping Hobbesian anarchy and subsequent bargaining.</w:t>
      </w:r>
    </w:p>
    <w:p w14:paraId="2AEE111F" w14:textId="25693C4A" w:rsidR="00E10705" w:rsidRDefault="00E10705" w:rsidP="009D5CBC">
      <w:pPr>
        <w:spacing w:after="0" w:line="480" w:lineRule="auto"/>
        <w:ind w:firstLine="720"/>
        <w:rPr>
          <w:rFonts w:ascii="Palatino Linotype" w:hAnsi="Palatino Linotype"/>
        </w:rPr>
      </w:pPr>
      <w:r>
        <w:rPr>
          <w:rFonts w:ascii="Palatino Linotype" w:hAnsi="Palatino Linotype"/>
        </w:rPr>
        <w:t xml:space="preserve">Which </w:t>
      </w:r>
      <w:proofErr w:type="gramStart"/>
      <w:r>
        <w:rPr>
          <w:rFonts w:ascii="Palatino Linotype" w:hAnsi="Palatino Linotype"/>
        </w:rPr>
        <w:t>particular instances</w:t>
      </w:r>
      <w:proofErr w:type="gramEnd"/>
      <w:r>
        <w:rPr>
          <w:rFonts w:ascii="Palatino Linotype" w:hAnsi="Palatino Linotype"/>
        </w:rPr>
        <w:t xml:space="preserve"> of overriding the preferences of an individual who does not wish to participate in public goods provision are permissible is critical for whether Buchanan believes a constitutional </w:t>
      </w:r>
      <w:r w:rsidRPr="009214CC">
        <w:rPr>
          <w:rFonts w:ascii="Palatino Linotype" w:hAnsi="Palatino Linotype"/>
          <w:i/>
          <w:iCs/>
        </w:rPr>
        <w:t>order</w:t>
      </w:r>
      <w:r>
        <w:rPr>
          <w:rFonts w:ascii="Palatino Linotype" w:hAnsi="Palatino Linotype"/>
        </w:rPr>
        <w:t xml:space="preserve"> to have been established. Unfortunately, it is impossible to give a comprehensive rule for when it is legitimate to curtail an individual’s claims. Buchanan observes that to the extent that the state is constrained at the constitutional level, post-constitutional bargaining is different from market exchange only in the degree of complexity. Thus, a fully constrained pseudo-state, which always respects the initial rights of all involved and exhaustively states those rights from the beginning, is always justified. However, if the state is not so constrained, then one may still be better off </w:t>
      </w:r>
      <w:r>
        <w:rPr>
          <w:rFonts w:ascii="Palatino Linotype" w:hAnsi="Palatino Linotype"/>
          <w:i/>
          <w:iCs/>
        </w:rPr>
        <w:t>in expectation</w:t>
      </w:r>
      <w:r>
        <w:rPr>
          <w:rFonts w:ascii="Palatino Linotype" w:hAnsi="Palatino Linotype"/>
        </w:rPr>
        <w:t xml:space="preserve"> relative to the Hobbesian baseline. One may voluntarily choose to risk being forced into a worse state because the </w:t>
      </w:r>
      <w:r>
        <w:rPr>
          <w:rFonts w:ascii="Palatino Linotype" w:hAnsi="Palatino Linotype"/>
        </w:rPr>
        <w:lastRenderedPageBreak/>
        <w:t>expected value of taking the risk is positive. Nonetheless, as constraints on the state become weaker, the state becomes less justified. Unconstrained collective action that is disanalogous to bargaining and exchange is instead “</w:t>
      </w:r>
      <w:r w:rsidRPr="009214CC">
        <w:rPr>
          <w:rFonts w:ascii="Palatino Linotype" w:hAnsi="Palatino Linotype"/>
        </w:rPr>
        <w:t>a major step backward into the anarchistic jungle.</w:t>
      </w:r>
      <w:r>
        <w:rPr>
          <w:rFonts w:ascii="Palatino Linotype" w:hAnsi="Palatino Linotype"/>
        </w:rPr>
        <w:t>”</w:t>
      </w:r>
      <w:r>
        <w:rPr>
          <w:rStyle w:val="EndnoteReference"/>
          <w:rFonts w:ascii="Palatino Linotype" w:hAnsi="Palatino Linotype"/>
        </w:rPr>
        <w:endnoteReference w:id="16"/>
      </w:r>
    </w:p>
    <w:p w14:paraId="4DABD048" w14:textId="4DA05414" w:rsidR="00E10705" w:rsidRDefault="00E10705" w:rsidP="009D5CBC">
      <w:pPr>
        <w:spacing w:after="0" w:line="480" w:lineRule="auto"/>
        <w:ind w:firstLine="720"/>
        <w:rPr>
          <w:rFonts w:ascii="Palatino Linotype" w:hAnsi="Palatino Linotype"/>
        </w:rPr>
      </w:pPr>
      <w:r>
        <w:rPr>
          <w:rFonts w:ascii="Palatino Linotype" w:hAnsi="Palatino Linotype"/>
        </w:rPr>
        <w:t>In addition to the state deviating from the strictures of constitutional order, individuals may wish to partially defect from the constitutional contract. A characteristic feature of states is their ability to coerce their citizens into obeying the law, and Buchanan’s theoretical state is no different. As all individuals can foresee the temptation of all others to defect, an enforcement agreement can be built into the constitution. Buchanan notes that when individual A steals from individual B, there is a private good to individual B of enforcing their claim and a private bad to individual A, but individual C has no particular interest. Nonetheless, he contends, the group will regard “generalized security of rights or claims” as a public good legitimately included in the bundle licensed by the constitutional order.</w:t>
      </w:r>
      <w:r>
        <w:rPr>
          <w:rStyle w:val="EndnoteReference"/>
          <w:rFonts w:ascii="Palatino Linotype" w:hAnsi="Palatino Linotype"/>
        </w:rPr>
        <w:endnoteReference w:id="17"/>
      </w:r>
    </w:p>
    <w:p w14:paraId="77A8C5A5" w14:textId="513A9C94" w:rsidR="00E10705" w:rsidRDefault="00E10705" w:rsidP="00AB0E98">
      <w:pPr>
        <w:spacing w:after="0" w:line="480" w:lineRule="auto"/>
        <w:ind w:firstLine="720"/>
        <w:rPr>
          <w:rFonts w:ascii="Palatino Linotype" w:hAnsi="Palatino Linotype"/>
        </w:rPr>
      </w:pPr>
      <w:r>
        <w:rPr>
          <w:rFonts w:ascii="Palatino Linotype" w:hAnsi="Palatino Linotype"/>
        </w:rPr>
        <w:t xml:space="preserve">At this point, Buchanan’s task of establishing a state from anarchical bargaining seems complete, and it is notable that he has not resorted to any moral principles beyond the desirability of Pareto improvements and a strict commitment to avoiding interpersonal welfare tradeoffs. He is at pains, in fact, to emphasize that the role of the state is not in defining initial endowments of rights nor in using any principle to discern which are legitimate. The state’s only role is as enforcer of a contract that enables </w:t>
      </w:r>
      <w:r>
        <w:rPr>
          <w:rFonts w:ascii="Palatino Linotype" w:hAnsi="Palatino Linotype"/>
        </w:rPr>
        <w:lastRenderedPageBreak/>
        <w:t>citizens to have lives that they regard as preferable to Hobbesian anarchy. States may differ in the degree to which they achieve this, but Buchanan is explicit that their function is “</w:t>
      </w:r>
      <w:proofErr w:type="gramStart"/>
      <w:r>
        <w:rPr>
          <w:rFonts w:ascii="Palatino Linotype" w:hAnsi="Palatino Linotype"/>
        </w:rPr>
        <w:t>insuring</w:t>
      </w:r>
      <w:proofErr w:type="gramEnd"/>
      <w:r>
        <w:rPr>
          <w:rFonts w:ascii="Palatino Linotype" w:hAnsi="Palatino Linotype"/>
        </w:rPr>
        <w:t xml:space="preserve"> that contractual terms are honored” because “Enforcement of claims</w:t>
      </w:r>
      <w:r w:rsidRPr="000F7DD7">
        <w:rPr>
          <w:rFonts w:eastAsia="Times New Roman" w:cs="Times New Roman"/>
          <w:szCs w:val="24"/>
        </w:rPr>
        <w:t xml:space="preserve"> </w:t>
      </w:r>
      <w:r w:rsidRPr="000F7DD7">
        <w:rPr>
          <w:rFonts w:ascii="Palatino Linotype" w:hAnsi="Palatino Linotype"/>
        </w:rPr>
        <w:t>is categorically different from defining these claims in the first place.</w:t>
      </w:r>
      <w:r>
        <w:rPr>
          <w:rFonts w:ascii="Palatino Linotype" w:hAnsi="Palatino Linotype"/>
        </w:rPr>
        <w:t>”</w:t>
      </w:r>
      <w:r>
        <w:rPr>
          <w:rStyle w:val="EndnoteReference"/>
          <w:rFonts w:ascii="Palatino Linotype" w:hAnsi="Palatino Linotype"/>
        </w:rPr>
        <w:endnoteReference w:id="18"/>
      </w:r>
    </w:p>
    <w:p w14:paraId="115EADCA" w14:textId="67C05BF7" w:rsidR="00E10705" w:rsidRDefault="00E10705" w:rsidP="00AB0E98">
      <w:pPr>
        <w:pStyle w:val="ListParagraph"/>
        <w:numPr>
          <w:ilvl w:val="0"/>
          <w:numId w:val="1"/>
        </w:numPr>
        <w:spacing w:after="0" w:line="480" w:lineRule="auto"/>
        <w:rPr>
          <w:rFonts w:ascii="Palatino Linotype" w:hAnsi="Palatino Linotype"/>
        </w:rPr>
      </w:pPr>
      <w:r>
        <w:rPr>
          <w:rFonts w:ascii="Palatino Linotype" w:hAnsi="Palatino Linotype"/>
        </w:rPr>
        <w:t xml:space="preserve">Beyond the unanimous minimal state </w:t>
      </w:r>
    </w:p>
    <w:p w14:paraId="7450CDBF" w14:textId="314EA4C6" w:rsidR="00E10705" w:rsidRPr="00E42A4D" w:rsidRDefault="00E10705" w:rsidP="00E42A4D">
      <w:pPr>
        <w:spacing w:after="0" w:line="480" w:lineRule="auto"/>
        <w:ind w:firstLine="720"/>
        <w:rPr>
          <w:rFonts w:ascii="Palatino Linotype" w:hAnsi="Palatino Linotype"/>
        </w:rPr>
      </w:pPr>
      <w:r>
        <w:rPr>
          <w:rFonts w:ascii="Palatino Linotype" w:hAnsi="Palatino Linotype"/>
        </w:rPr>
        <w:t xml:space="preserve">For something to look much like a state, it needs to have several features that Buchanan has to this point established. However, there seems to be a very limited extent to which his theoretical state reflects any </w:t>
      </w:r>
      <w:proofErr w:type="gramStart"/>
      <w:r>
        <w:rPr>
          <w:rFonts w:ascii="Palatino Linotype" w:hAnsi="Palatino Linotype"/>
        </w:rPr>
        <w:t>actually existing</w:t>
      </w:r>
      <w:proofErr w:type="gramEnd"/>
      <w:r>
        <w:rPr>
          <w:rFonts w:ascii="Palatino Linotype" w:hAnsi="Palatino Linotype"/>
        </w:rPr>
        <w:t xml:space="preserve"> state. For one, </w:t>
      </w:r>
      <w:proofErr w:type="gramStart"/>
      <w:r>
        <w:rPr>
          <w:rFonts w:ascii="Palatino Linotype" w:hAnsi="Palatino Linotype"/>
        </w:rPr>
        <w:t>actually existing</w:t>
      </w:r>
      <w:proofErr w:type="gramEnd"/>
      <w:r>
        <w:rPr>
          <w:rFonts w:ascii="Palatino Linotype" w:hAnsi="Palatino Linotype"/>
        </w:rPr>
        <w:t xml:space="preserve"> states do more than merely provide economies of scale for protection of the rights citizens could defend on their own. For another, they tend to outlive their founding generation and thus would require justification to subsequent generations </w:t>
      </w:r>
      <w:proofErr w:type="gramStart"/>
      <w:r>
        <w:rPr>
          <w:rFonts w:ascii="Palatino Linotype" w:hAnsi="Palatino Linotype"/>
        </w:rPr>
        <w:t>in order to</w:t>
      </w:r>
      <w:proofErr w:type="gramEnd"/>
      <w:r>
        <w:rPr>
          <w:rFonts w:ascii="Palatino Linotype" w:hAnsi="Palatino Linotype"/>
        </w:rPr>
        <w:t xml:space="preserve"> be legitimate. This section will address how Buchanan extends his theoretical ideal to incorporate these two features beyond a mere contractual protection service.</w:t>
      </w:r>
    </w:p>
    <w:p w14:paraId="59A45F56" w14:textId="6092A1AA" w:rsidR="00E10705" w:rsidRPr="00E42A4D" w:rsidRDefault="00E10705" w:rsidP="00E42A4D">
      <w:pPr>
        <w:pStyle w:val="ListParagraph"/>
        <w:numPr>
          <w:ilvl w:val="1"/>
          <w:numId w:val="1"/>
        </w:numPr>
        <w:spacing w:after="0" w:line="480" w:lineRule="auto"/>
        <w:rPr>
          <w:rFonts w:ascii="Palatino Linotype" w:hAnsi="Palatino Linotype"/>
        </w:rPr>
      </w:pPr>
      <w:r>
        <w:rPr>
          <w:rFonts w:ascii="Palatino Linotype" w:hAnsi="Palatino Linotype"/>
        </w:rPr>
        <w:t>The productive state</w:t>
      </w:r>
    </w:p>
    <w:p w14:paraId="228985F7" w14:textId="20182732" w:rsidR="00E10705" w:rsidRDefault="00E10705" w:rsidP="00AB0E98">
      <w:pPr>
        <w:spacing w:after="0" w:line="480" w:lineRule="auto"/>
        <w:ind w:firstLine="720"/>
        <w:rPr>
          <w:rFonts w:ascii="Palatino Linotype" w:hAnsi="Palatino Linotype"/>
        </w:rPr>
      </w:pPr>
      <w:r>
        <w:rPr>
          <w:rFonts w:ascii="Palatino Linotype" w:hAnsi="Palatino Linotype"/>
        </w:rPr>
        <w:t xml:space="preserve">The idea of a night watchman state is well established in the history of political philosophy as a minimal entity to count as a state and, on some accounts, as a maximally powerful state that can be justified from the need for social order. Buchanan, however, does not stop here. In theory he could leave the enforcement of the constitutional contract to the state and all other collective action to voluntary collective action in the private sphere. However, he acknowledges that most states do, </w:t>
      </w:r>
      <w:proofErr w:type="gramStart"/>
      <w:r>
        <w:rPr>
          <w:rFonts w:ascii="Palatino Linotype" w:hAnsi="Palatino Linotype"/>
        </w:rPr>
        <w:t xml:space="preserve">in reality, </w:t>
      </w:r>
      <w:r>
        <w:rPr>
          <w:rFonts w:ascii="Palatino Linotype" w:hAnsi="Palatino Linotype"/>
        </w:rPr>
        <w:lastRenderedPageBreak/>
        <w:t>go</w:t>
      </w:r>
      <w:proofErr w:type="gramEnd"/>
      <w:r>
        <w:rPr>
          <w:rFonts w:ascii="Palatino Linotype" w:hAnsi="Palatino Linotype"/>
        </w:rPr>
        <w:t xml:space="preserve"> beyond the limits of what he calls the “protective state” and begin to engage in activities that are best described as belonging to a conceptually separate entity called the “productive” state.</w:t>
      </w:r>
    </w:p>
    <w:p w14:paraId="4449ABEC" w14:textId="3DF99DB3" w:rsidR="00E10705" w:rsidRDefault="00E10705" w:rsidP="00AB0E98">
      <w:pPr>
        <w:spacing w:after="0" w:line="480" w:lineRule="auto"/>
        <w:ind w:firstLine="720"/>
        <w:rPr>
          <w:rFonts w:ascii="Palatino Linotype" w:hAnsi="Palatino Linotype"/>
        </w:rPr>
      </w:pPr>
      <w:r>
        <w:rPr>
          <w:rFonts w:ascii="Palatino Linotype" w:hAnsi="Palatino Linotype"/>
        </w:rPr>
        <w:t xml:space="preserve">Whereas the protective state is </w:t>
      </w:r>
      <w:proofErr w:type="gramStart"/>
      <w:r>
        <w:rPr>
          <w:rFonts w:ascii="Palatino Linotype" w:hAnsi="Palatino Linotype"/>
        </w:rPr>
        <w:t>in itself necessary</w:t>
      </w:r>
      <w:proofErr w:type="gramEnd"/>
      <w:r>
        <w:rPr>
          <w:rFonts w:ascii="Palatino Linotype" w:hAnsi="Palatino Linotype"/>
        </w:rPr>
        <w:t xml:space="preserve"> to escape Hobbesian anarchy, the conceptually distinct productive state could theoretically be an unnecessary addition. The protective state purely referees. The productive state facilitates further improvements in the welfare of the society that produces it. Its role is in the production of public goods. Whereas the negotiation out of the natural distribution can result in the production of shared goods through trade, the establishment of a state necessarily means there is a new entity to which can be assigned public goods production. Furthermore, the negotiations that are necessary to establish the protective state and the negotiations that establish the productive state can cross-subsidize each other. That is, the possibility of obtaining public goods may induce some agents to agree to the constitutional arrangement even if constraints on their ability to predate would in isolation subject them to an outcome worse than Hobbesian anarchy.</w:t>
      </w:r>
    </w:p>
    <w:p w14:paraId="720530B7" w14:textId="2A73307E" w:rsidR="00E10705" w:rsidRDefault="00E10705" w:rsidP="00085D3D">
      <w:pPr>
        <w:spacing w:after="0" w:line="480" w:lineRule="auto"/>
        <w:ind w:firstLine="720"/>
        <w:rPr>
          <w:rFonts w:ascii="Palatino Linotype" w:hAnsi="Palatino Linotype"/>
        </w:rPr>
      </w:pPr>
      <w:r>
        <w:rPr>
          <w:rFonts w:ascii="Palatino Linotype" w:hAnsi="Palatino Linotype"/>
        </w:rPr>
        <w:t xml:space="preserve">Buchanan seems to regard the productive state as being tied to the protective state because they must be established by collective action at the same time, but he contends the concrete actions of the productive state are the result of operational politics, not constitutional politics. Post-constitutional bargaining decides what infrastructure to build, how much social insurance to provide, etc., but because these </w:t>
      </w:r>
      <w:r>
        <w:rPr>
          <w:rFonts w:ascii="Palatino Linotype" w:hAnsi="Palatino Linotype"/>
        </w:rPr>
        <w:lastRenderedPageBreak/>
        <w:t>are shared projects, they must be tied to the same entity that provides the more fundamental public good that makes them possible: public safety. For him, so long as the constitutional order is maintained, the state does not go beyond its proper authority by performing activities for the public benefit other than policing. These other functions need only come about as the result of bargaining within the constraining constitutional rules.</w:t>
      </w:r>
    </w:p>
    <w:p w14:paraId="3BB06169" w14:textId="7A7F33C1" w:rsidR="00E10705" w:rsidRDefault="00E10705" w:rsidP="00E42A4D">
      <w:pPr>
        <w:pStyle w:val="ListParagraph"/>
        <w:numPr>
          <w:ilvl w:val="1"/>
          <w:numId w:val="1"/>
        </w:numPr>
        <w:spacing w:after="0" w:line="480" w:lineRule="auto"/>
        <w:rPr>
          <w:rFonts w:ascii="Palatino Linotype" w:hAnsi="Palatino Linotype"/>
        </w:rPr>
      </w:pPr>
      <w:r>
        <w:rPr>
          <w:rFonts w:ascii="Palatino Linotype" w:hAnsi="Palatino Linotype"/>
        </w:rPr>
        <w:t>The passage of time</w:t>
      </w:r>
    </w:p>
    <w:p w14:paraId="5249E58E" w14:textId="2A842C69" w:rsidR="00E10705" w:rsidRDefault="00E10705" w:rsidP="003A78E5">
      <w:pPr>
        <w:spacing w:after="0" w:line="480" w:lineRule="auto"/>
        <w:ind w:firstLine="720"/>
        <w:rPr>
          <w:rFonts w:ascii="Palatino Linotype" w:hAnsi="Palatino Linotype"/>
        </w:rPr>
      </w:pPr>
      <w:r>
        <w:rPr>
          <w:rFonts w:ascii="Palatino Linotype" w:hAnsi="Palatino Linotype"/>
        </w:rPr>
        <w:t xml:space="preserve">Among the reasonable objections to a contractarian justification of the state is the simple fact that nearly no one alive </w:t>
      </w:r>
      <w:proofErr w:type="gramStart"/>
      <w:r>
        <w:rPr>
          <w:rFonts w:ascii="Palatino Linotype" w:hAnsi="Palatino Linotype"/>
        </w:rPr>
        <w:t>actually consented</w:t>
      </w:r>
      <w:proofErr w:type="gramEnd"/>
      <w:r>
        <w:rPr>
          <w:rFonts w:ascii="Palatino Linotype" w:hAnsi="Palatino Linotype"/>
        </w:rPr>
        <w:t xml:space="preserve"> to the negotiation that established the state under which they live. The passage of time and succession of generations inevitably means any state that persists will come to have power over those who have not given their consent to the contractual arrangement, so the legitimacy of the state by Buchanan’s standards seems to rapidly erode unless he has some means of bringing new residents into the social contract. Buchanan himself was particularly concerned with this question because of his perception that the social contract of the US in the 1970s was fraying due to younger generations of Americans perceiving the constitutional order to be illegitimate. Although this could theoretically be overcome through a sufficiently vigorous exercise of the state’s legitimate role of social contract enforcement, this would be costly and </w:t>
      </w:r>
      <w:proofErr w:type="gramStart"/>
      <w:r>
        <w:rPr>
          <w:rFonts w:ascii="Palatino Linotype" w:hAnsi="Palatino Linotype"/>
        </w:rPr>
        <w:t>sow</w:t>
      </w:r>
      <w:proofErr w:type="gramEnd"/>
      <w:r>
        <w:rPr>
          <w:rFonts w:ascii="Palatino Linotype" w:hAnsi="Palatino Linotype"/>
        </w:rPr>
        <w:t xml:space="preserve"> cultural strife. How else might the state be justified over time?</w:t>
      </w:r>
    </w:p>
    <w:p w14:paraId="7985A9CA" w14:textId="12994B6C" w:rsidR="00E10705" w:rsidRDefault="00E10705" w:rsidP="003A78E5">
      <w:pPr>
        <w:spacing w:after="0" w:line="480" w:lineRule="auto"/>
        <w:ind w:firstLine="720"/>
        <w:rPr>
          <w:rFonts w:ascii="Palatino Linotype" w:hAnsi="Palatino Linotype"/>
        </w:rPr>
      </w:pPr>
      <w:r>
        <w:rPr>
          <w:rFonts w:ascii="Palatino Linotype" w:hAnsi="Palatino Linotype"/>
        </w:rPr>
        <w:lastRenderedPageBreak/>
        <w:t xml:space="preserve">The </w:t>
      </w:r>
      <w:proofErr w:type="gramStart"/>
      <w:r>
        <w:rPr>
          <w:rFonts w:ascii="Palatino Linotype" w:hAnsi="Palatino Linotype"/>
        </w:rPr>
        <w:t>importance</w:t>
      </w:r>
      <w:proofErr w:type="gramEnd"/>
      <w:r>
        <w:rPr>
          <w:rFonts w:ascii="Palatino Linotype" w:hAnsi="Palatino Linotype"/>
        </w:rPr>
        <w:t xml:space="preserve"> Buchanan places on the status quo once again becomes relevant in this connection. The state is justified to each subsequent generation not because of some inherited implicit consent or similar intergenerational transfer but purely because the state does exist. The status quo has a state, so improvements to the status quo must begin from here. If individuals believe they can achieve a better </w:t>
      </w:r>
      <w:proofErr w:type="gramStart"/>
      <w:r>
        <w:rPr>
          <w:rFonts w:ascii="Palatino Linotype" w:hAnsi="Palatino Linotype"/>
        </w:rPr>
        <w:t>lot</w:t>
      </w:r>
      <w:proofErr w:type="gramEnd"/>
      <w:r>
        <w:rPr>
          <w:rFonts w:ascii="Palatino Linotype" w:hAnsi="Palatino Linotype"/>
        </w:rPr>
        <w:t xml:space="preserve"> through some other arrangement, they are welcome to suggest that society renegotiate the contractual order. </w:t>
      </w:r>
      <w:proofErr w:type="gramStart"/>
      <w:r>
        <w:rPr>
          <w:rFonts w:ascii="Palatino Linotype" w:hAnsi="Palatino Linotype"/>
        </w:rPr>
        <w:t>Thus</w:t>
      </w:r>
      <w:proofErr w:type="gramEnd"/>
      <w:r>
        <w:rPr>
          <w:rFonts w:ascii="Palatino Linotype" w:hAnsi="Palatino Linotype"/>
        </w:rPr>
        <w:t xml:space="preserve"> the state is justified by the fact that the constitutional order is renegotiable. Accepting the state’s existence means acquiescing to its legitimacy. Advocating for its constitutional makeup to change is legitimate as well </w:t>
      </w:r>
      <w:proofErr w:type="gramStart"/>
      <w:r>
        <w:rPr>
          <w:rFonts w:ascii="Palatino Linotype" w:hAnsi="Palatino Linotype"/>
        </w:rPr>
        <w:t>but</w:t>
      </w:r>
      <w:proofErr w:type="gramEnd"/>
      <w:r>
        <w:rPr>
          <w:rFonts w:ascii="Palatino Linotype" w:hAnsi="Palatino Linotype"/>
        </w:rPr>
        <w:t xml:space="preserve"> must acknowledge the state of things as they are.</w:t>
      </w:r>
    </w:p>
    <w:p w14:paraId="6C2CA28C" w14:textId="53D08596" w:rsidR="00E10705" w:rsidRDefault="00E10705" w:rsidP="003A78E5">
      <w:pPr>
        <w:spacing w:after="0" w:line="480" w:lineRule="auto"/>
        <w:ind w:firstLine="720"/>
        <w:rPr>
          <w:rFonts w:ascii="Palatino Linotype" w:hAnsi="Palatino Linotype"/>
        </w:rPr>
      </w:pPr>
      <w:r>
        <w:rPr>
          <w:rFonts w:ascii="Palatino Linotype" w:hAnsi="Palatino Linotype"/>
        </w:rPr>
        <w:t>This relates closely to a matter that is somewhat awkward about Buchanan’s system, which is that the relative bargaining position of different groups in the constitutional negotiation may not correspond perfectly to their bargaining position over time. Buchanan acknowledges this and notes that this can induce those whose claims become more tenuous relative to their renegotiation expectations to offer to trade some of their more vulnerable property claims off for greater security in the remainder.</w:t>
      </w:r>
      <w:r>
        <w:rPr>
          <w:rStyle w:val="EndnoteReference"/>
          <w:rFonts w:ascii="Palatino Linotype" w:hAnsi="Palatino Linotype"/>
        </w:rPr>
        <w:endnoteReference w:id="19"/>
      </w:r>
      <w:r>
        <w:rPr>
          <w:rFonts w:ascii="Palatino Linotype" w:hAnsi="Palatino Linotype"/>
        </w:rPr>
        <w:t xml:space="preserve"> In a sense, this implies that although society may comprehensively escape Hobbesian anarchy by moving to a contractual mode of constitutional order, it can never fully escape the influence of Hobbesian anarchy. Rather, all negotiation is completed under the threat of </w:t>
      </w:r>
      <w:proofErr w:type="gramStart"/>
      <w:r>
        <w:rPr>
          <w:rFonts w:ascii="Palatino Linotype" w:hAnsi="Palatino Linotype"/>
        </w:rPr>
        <w:t>relapse</w:t>
      </w:r>
      <w:proofErr w:type="gramEnd"/>
      <w:r>
        <w:rPr>
          <w:rFonts w:ascii="Palatino Linotype" w:hAnsi="Palatino Linotype"/>
        </w:rPr>
        <w:t xml:space="preserve"> into predation and the resulting welfare losses </w:t>
      </w:r>
      <w:r>
        <w:rPr>
          <w:rFonts w:ascii="Palatino Linotype" w:hAnsi="Palatino Linotype"/>
        </w:rPr>
        <w:lastRenderedPageBreak/>
        <w:t>therein. So long as that possibility merely influences the negotiation process and does not lead to actual predatory behavior, constitutional order is preserved.</w:t>
      </w:r>
    </w:p>
    <w:p w14:paraId="31C8D623" w14:textId="0D77AC36" w:rsidR="00E10705" w:rsidRPr="00E42A4D" w:rsidRDefault="00E10705" w:rsidP="003A78E5">
      <w:pPr>
        <w:spacing w:after="0" w:line="480" w:lineRule="auto"/>
        <w:ind w:firstLine="720"/>
        <w:rPr>
          <w:rFonts w:ascii="Palatino Linotype" w:hAnsi="Palatino Linotype"/>
        </w:rPr>
      </w:pPr>
      <w:r>
        <w:rPr>
          <w:rFonts w:ascii="Palatino Linotype" w:hAnsi="Palatino Linotype"/>
        </w:rPr>
        <w:t xml:space="preserve">There is an asymmetry, however, in what is permitted on the part of private citizens </w:t>
      </w:r>
      <w:proofErr w:type="gramStart"/>
      <w:r>
        <w:rPr>
          <w:rFonts w:ascii="Palatino Linotype" w:hAnsi="Palatino Linotype"/>
        </w:rPr>
        <w:t>in order to</w:t>
      </w:r>
      <w:proofErr w:type="gramEnd"/>
      <w:r>
        <w:rPr>
          <w:rFonts w:ascii="Palatino Linotype" w:hAnsi="Palatino Linotype"/>
        </w:rPr>
        <w:t xml:space="preserve"> change the constitutional order and what is permitted on the part of the state. Citizens may change the constitutional order </w:t>
      </w:r>
      <w:proofErr w:type="gramStart"/>
      <w:r>
        <w:rPr>
          <w:rFonts w:ascii="Palatino Linotype" w:hAnsi="Palatino Linotype"/>
        </w:rPr>
        <w:t>in light of</w:t>
      </w:r>
      <w:proofErr w:type="gramEnd"/>
      <w:r>
        <w:rPr>
          <w:rFonts w:ascii="Palatino Linotype" w:hAnsi="Palatino Linotype"/>
        </w:rPr>
        <w:t xml:space="preserve"> a shift in the underlying anarchical distribution. The state may not change the constitutional order. Because it is a creature of the contractual leap from Hobbesian anarchy, the state must always be subject to its constitutional constraints. Here, Buchanan is explicit: “</w:t>
      </w:r>
      <w:r w:rsidRPr="00101922">
        <w:rPr>
          <w:rFonts w:ascii="Palatino Linotype" w:hAnsi="Palatino Linotype"/>
        </w:rPr>
        <w:t xml:space="preserve">If </w:t>
      </w:r>
      <w:r>
        <w:rPr>
          <w:rFonts w:ascii="Palatino Linotype" w:hAnsi="Palatino Linotype"/>
        </w:rPr>
        <w:t>‘</w:t>
      </w:r>
      <w:r w:rsidRPr="00101922">
        <w:rPr>
          <w:rFonts w:ascii="Palatino Linotype" w:hAnsi="Palatino Linotype"/>
        </w:rPr>
        <w:t>the government</w:t>
      </w:r>
      <w:r>
        <w:rPr>
          <w:rFonts w:ascii="Palatino Linotype" w:hAnsi="Palatino Linotype"/>
        </w:rPr>
        <w:t>,’</w:t>
      </w:r>
      <w:r w:rsidRPr="00101922">
        <w:rPr>
          <w:rFonts w:ascii="Palatino Linotype" w:hAnsi="Palatino Linotype"/>
        </w:rPr>
        <w:t xml:space="preserve"> which is conceived as an enforcing agent for individual rights</w:t>
      </w:r>
      <w:r>
        <w:rPr>
          <w:rFonts w:ascii="Palatino Linotype" w:hAnsi="Palatino Linotype"/>
        </w:rPr>
        <w:t>,</w:t>
      </w:r>
      <w:r w:rsidRPr="00101922">
        <w:rPr>
          <w:rFonts w:ascii="Palatino Linotype" w:hAnsi="Palatino Linotype"/>
        </w:rPr>
        <w:t xml:space="preserve"> itself captures powers to change the legal structure, individuals are deprived of </w:t>
      </w:r>
      <w:proofErr w:type="gramStart"/>
      <w:r w:rsidRPr="00101922">
        <w:rPr>
          <w:rFonts w:ascii="Palatino Linotype" w:hAnsi="Palatino Linotype"/>
        </w:rPr>
        <w:t>rights</w:t>
      </w:r>
      <w:proofErr w:type="gramEnd"/>
      <w:r w:rsidRPr="00101922">
        <w:rPr>
          <w:rFonts w:ascii="Palatino Linotype" w:hAnsi="Palatino Linotype"/>
        </w:rPr>
        <w:t xml:space="preserve"> and their existence becomes equivalent to that described in Hobbesian anarchy.</w:t>
      </w:r>
      <w:r>
        <w:rPr>
          <w:rFonts w:ascii="Palatino Linotype" w:hAnsi="Palatino Linotype"/>
        </w:rPr>
        <w:t>”</w:t>
      </w:r>
      <w:r>
        <w:rPr>
          <w:rStyle w:val="EndnoteReference"/>
          <w:rFonts w:ascii="Palatino Linotype" w:hAnsi="Palatino Linotype"/>
        </w:rPr>
        <w:endnoteReference w:id="20"/>
      </w:r>
      <w:r>
        <w:rPr>
          <w:rFonts w:ascii="Palatino Linotype" w:hAnsi="Palatino Linotype"/>
        </w:rPr>
        <w:t xml:space="preserve"> </w:t>
      </w:r>
    </w:p>
    <w:p w14:paraId="4C258C9E" w14:textId="039EB5E5" w:rsidR="00E10705" w:rsidRDefault="00E10705" w:rsidP="00302904">
      <w:pPr>
        <w:pStyle w:val="ListParagraph"/>
        <w:numPr>
          <w:ilvl w:val="0"/>
          <w:numId w:val="1"/>
        </w:numPr>
        <w:spacing w:after="0" w:line="480" w:lineRule="auto"/>
        <w:rPr>
          <w:rFonts w:ascii="Palatino Linotype" w:hAnsi="Palatino Linotype"/>
        </w:rPr>
      </w:pPr>
      <w:r>
        <w:rPr>
          <w:rFonts w:ascii="Palatino Linotype" w:hAnsi="Palatino Linotype"/>
        </w:rPr>
        <w:t>Two critiques</w:t>
      </w:r>
    </w:p>
    <w:p w14:paraId="2BC36B6D" w14:textId="7088CB9D" w:rsidR="00E10705" w:rsidRPr="00561E28" w:rsidRDefault="00E10705" w:rsidP="00561E28">
      <w:pPr>
        <w:spacing w:after="0" w:line="480" w:lineRule="auto"/>
        <w:ind w:firstLine="720"/>
        <w:rPr>
          <w:rFonts w:ascii="Palatino Linotype" w:hAnsi="Palatino Linotype"/>
        </w:rPr>
      </w:pPr>
      <w:proofErr w:type="gramStart"/>
      <w:r>
        <w:rPr>
          <w:rFonts w:ascii="Palatino Linotype" w:hAnsi="Palatino Linotype"/>
        </w:rPr>
        <w:t>A number of</w:t>
      </w:r>
      <w:proofErr w:type="gramEnd"/>
      <w:r>
        <w:rPr>
          <w:rFonts w:ascii="Palatino Linotype" w:hAnsi="Palatino Linotype"/>
        </w:rPr>
        <w:t xml:space="preserve"> avenues of criticism of Buchanan’s approach are possible. For one, anyone whose individual preferences encode a moral standard other than Buchanan’s will likely wish to advocate for the rectification of historic injustices. For another, it seems unlikely that social order can be established once and then preserved through dynamic, ongoing renegotiation. These are not unrelated points.</w:t>
      </w:r>
    </w:p>
    <w:p w14:paraId="7A20F9E3" w14:textId="3D87664A" w:rsidR="00E10705" w:rsidRDefault="00E10705" w:rsidP="00561E28">
      <w:pPr>
        <w:spacing w:after="0" w:line="480" w:lineRule="auto"/>
        <w:ind w:firstLine="720"/>
        <w:rPr>
          <w:rFonts w:ascii="Palatino Linotype" w:hAnsi="Palatino Linotype"/>
        </w:rPr>
      </w:pPr>
      <w:r>
        <w:rPr>
          <w:rFonts w:ascii="Palatino Linotype" w:hAnsi="Palatino Linotype"/>
        </w:rPr>
        <w:t xml:space="preserve">Buchanan’s system perfectly well allows for movement towards a concrete vision of </w:t>
      </w:r>
      <w:proofErr w:type="gramStart"/>
      <w:r>
        <w:rPr>
          <w:rFonts w:ascii="Palatino Linotype" w:hAnsi="Palatino Linotype"/>
        </w:rPr>
        <w:t>the</w:t>
      </w:r>
      <w:proofErr w:type="gramEnd"/>
      <w:r>
        <w:rPr>
          <w:rFonts w:ascii="Palatino Linotype" w:hAnsi="Palatino Linotype"/>
        </w:rPr>
        <w:t xml:space="preserve"> good society. One may very well be a conservative who urges others to respect their society’s cultural patrimony, a feminist who advocates for eliminating hierarchical </w:t>
      </w:r>
      <w:r>
        <w:rPr>
          <w:rFonts w:ascii="Palatino Linotype" w:hAnsi="Palatino Linotype"/>
        </w:rPr>
        <w:lastRenderedPageBreak/>
        <w:t xml:space="preserve">gender norms, an environmentalist who raises others’ awareness of the importance of not littering, etc. One may not, however, violate the “rights” settled in the violent process of reaching an equilibrium natural distribution. In Buchanan’s vision, violating that settlement would require (or, </w:t>
      </w:r>
      <w:proofErr w:type="gramStart"/>
      <w:r>
        <w:rPr>
          <w:rFonts w:ascii="Palatino Linotype" w:hAnsi="Palatino Linotype"/>
        </w:rPr>
        <w:t>on</w:t>
      </w:r>
      <w:proofErr w:type="gramEnd"/>
      <w:r>
        <w:rPr>
          <w:rFonts w:ascii="Palatino Linotype" w:hAnsi="Palatino Linotype"/>
        </w:rPr>
        <w:t xml:space="preserve"> another interpretation, constitute) returning to anarchic violence. Few are likely to regard the natural distribution as “just” in the way a normative theory more robust than Buchanan’s would recommend. To many readers Buchanan’s </w:t>
      </w:r>
      <w:proofErr w:type="gramStart"/>
      <w:r>
        <w:rPr>
          <w:rFonts w:ascii="Palatino Linotype" w:hAnsi="Palatino Linotype"/>
        </w:rPr>
        <w:t>privileging</w:t>
      </w:r>
      <w:proofErr w:type="gramEnd"/>
      <w:r>
        <w:rPr>
          <w:rFonts w:ascii="Palatino Linotype" w:hAnsi="Palatino Linotype"/>
        </w:rPr>
        <w:t xml:space="preserve"> of the status quo can seem like a willful blindness to most of human history’s unflattering events.</w:t>
      </w:r>
    </w:p>
    <w:p w14:paraId="5E8D64C7" w14:textId="1F5BF4DB" w:rsidR="00E10705" w:rsidRDefault="00E10705" w:rsidP="00047151">
      <w:pPr>
        <w:spacing w:after="0" w:line="480" w:lineRule="auto"/>
        <w:ind w:firstLine="720"/>
        <w:rPr>
          <w:rFonts w:ascii="Palatino Linotype" w:hAnsi="Palatino Linotype"/>
        </w:rPr>
      </w:pPr>
      <w:r>
        <w:rPr>
          <w:rFonts w:ascii="Palatino Linotype" w:hAnsi="Palatino Linotype"/>
        </w:rPr>
        <w:t xml:space="preserve">There are multiple possible responses to this line of criticism. One is to say that one ought simply to pursue a political program within operational politics that rectifies historic injustices. If the existing constitutional order does not countenance this, then one can advocate for constitutional reform via a unanimous process that either licenses such programs in operational politics or </w:t>
      </w:r>
      <w:proofErr w:type="gramStart"/>
      <w:r>
        <w:rPr>
          <w:rFonts w:ascii="Palatino Linotype" w:hAnsi="Palatino Linotype"/>
        </w:rPr>
        <w:t>in itself embodies</w:t>
      </w:r>
      <w:proofErr w:type="gramEnd"/>
      <w:r>
        <w:rPr>
          <w:rFonts w:ascii="Palatino Linotype" w:hAnsi="Palatino Linotype"/>
        </w:rPr>
        <w:t xml:space="preserve"> a rearrangement of the legitimate rights claims. Buchanan is extremely suspicious of such efforts, regarding them as likely to be self-interested behavior cloaked in the rhetoric of justice </w:t>
      </w:r>
      <w:r>
        <w:rPr>
          <w:rStyle w:val="EndnoteReference"/>
          <w:rFonts w:ascii="Palatino Linotype" w:hAnsi="Palatino Linotype"/>
        </w:rPr>
        <w:endnoteReference w:id="21"/>
      </w:r>
      <w:r>
        <w:rPr>
          <w:rFonts w:ascii="Palatino Linotype" w:hAnsi="Palatino Linotype"/>
        </w:rPr>
        <w:t>, but this is roughly the approach of Viktor Vanberg.</w:t>
      </w:r>
      <w:r>
        <w:rPr>
          <w:rStyle w:val="EndnoteReference"/>
          <w:rFonts w:ascii="Palatino Linotype" w:hAnsi="Palatino Linotype"/>
        </w:rPr>
        <w:endnoteReference w:id="22"/>
      </w:r>
      <w:r>
        <w:rPr>
          <w:rFonts w:ascii="Palatino Linotype" w:hAnsi="Palatino Linotype"/>
        </w:rPr>
        <w:t xml:space="preserve"> Vanberg argues that the unanimity criterion ought to apply to the acceptability of the status quo, and to the extent that it does not meet with universal recognition of legitimacy, those illegitimate privileges ought to be regarded with suspicion. “</w:t>
      </w:r>
      <w:r w:rsidRPr="00047151">
        <w:rPr>
          <w:rFonts w:ascii="Palatino Linotype" w:hAnsi="Palatino Linotype"/>
        </w:rPr>
        <w:t>To be sure, the contractarian's plea is for</w:t>
      </w:r>
      <w:r>
        <w:rPr>
          <w:rFonts w:ascii="Palatino Linotype" w:hAnsi="Palatino Linotype"/>
        </w:rPr>
        <w:t xml:space="preserve"> </w:t>
      </w:r>
      <w:r w:rsidRPr="00047151">
        <w:rPr>
          <w:rFonts w:ascii="Palatino Linotype" w:hAnsi="Palatino Linotype"/>
        </w:rPr>
        <w:lastRenderedPageBreak/>
        <w:t>consensual elimination of privileges, but elimination of privileges is clearly what the</w:t>
      </w:r>
      <w:r>
        <w:rPr>
          <w:rFonts w:ascii="Palatino Linotype" w:hAnsi="Palatino Linotype"/>
        </w:rPr>
        <w:t xml:space="preserve"> </w:t>
      </w:r>
      <w:r w:rsidRPr="00047151">
        <w:rPr>
          <w:rFonts w:ascii="Palatino Linotype" w:hAnsi="Palatino Linotype"/>
        </w:rPr>
        <w:t>contractarian norm demands.</w:t>
      </w:r>
      <w:r>
        <w:rPr>
          <w:rFonts w:ascii="Palatino Linotype" w:hAnsi="Palatino Linotype"/>
        </w:rPr>
        <w:t>”</w:t>
      </w:r>
      <w:r>
        <w:rPr>
          <w:rStyle w:val="EndnoteReference"/>
          <w:rFonts w:ascii="Palatino Linotype" w:hAnsi="Palatino Linotype"/>
        </w:rPr>
        <w:endnoteReference w:id="23"/>
      </w:r>
    </w:p>
    <w:p w14:paraId="55A305E2" w14:textId="77777777" w:rsidR="00E10705" w:rsidRDefault="00E10705" w:rsidP="00047151">
      <w:pPr>
        <w:spacing w:after="0" w:line="480" w:lineRule="auto"/>
        <w:ind w:firstLine="720"/>
        <w:rPr>
          <w:rFonts w:ascii="Palatino Linotype" w:hAnsi="Palatino Linotype"/>
        </w:rPr>
      </w:pPr>
      <w:r>
        <w:rPr>
          <w:rFonts w:ascii="Palatino Linotype" w:hAnsi="Palatino Linotype"/>
        </w:rPr>
        <w:t xml:space="preserve">Another approach is to say that there are worse things than anarchy, and to the extent that historic injustices render the constitutional order intolerable, a return to anarchy is simply the inevitable conclusion of a failure to come to a Pareto-superior constitutional order. Thinking along these lines, one may imagine what Buchanan refers to as an unreasonable person, i.e. a person who simply refuses to bargain within his preferred system. If enough people are convinced to be unreasonable in this way, there is not much Buchanan’s contractarian vision can do. They have not </w:t>
      </w:r>
      <w:proofErr w:type="gramStart"/>
      <w:r>
        <w:rPr>
          <w:rFonts w:ascii="Palatino Linotype" w:hAnsi="Palatino Linotype"/>
        </w:rPr>
        <w:t>exited</w:t>
      </w:r>
      <w:proofErr w:type="gramEnd"/>
      <w:r>
        <w:rPr>
          <w:rFonts w:ascii="Palatino Linotype" w:hAnsi="Palatino Linotype"/>
        </w:rPr>
        <w:t xml:space="preserve"> anarchy, so there is no initial distribution of rights to respect.</w:t>
      </w:r>
    </w:p>
    <w:p w14:paraId="5521025E" w14:textId="1542FA6D" w:rsidR="00E10705" w:rsidRDefault="00E10705" w:rsidP="00047151">
      <w:pPr>
        <w:spacing w:after="0" w:line="480" w:lineRule="auto"/>
        <w:ind w:firstLine="720"/>
        <w:rPr>
          <w:rFonts w:ascii="Palatino Linotype" w:hAnsi="Palatino Linotype"/>
        </w:rPr>
      </w:pPr>
      <w:r>
        <w:rPr>
          <w:rFonts w:ascii="Palatino Linotype" w:hAnsi="Palatino Linotype"/>
        </w:rPr>
        <w:t xml:space="preserve">The other line of criticism of Buchanan becomes especially relevant here. His treatment of the establishment of constitutional order is generally framed as a once-and-for-all escape. Afterward, even as the underlying Hobbesian anarchy shifts, the constitutional order persists by simply renegotiating the contractual basis of social organization. However, it is possible to imagine the constitutional order failing. Buchanan treats this as something to be avoided with extraordinary effort, as it is tantamount to falling back into </w:t>
      </w:r>
      <w:proofErr w:type="gramStart"/>
      <w:r>
        <w:rPr>
          <w:rFonts w:ascii="Palatino Linotype" w:hAnsi="Palatino Linotype"/>
        </w:rPr>
        <w:t>the violence</w:t>
      </w:r>
      <w:proofErr w:type="gramEnd"/>
      <w:r>
        <w:rPr>
          <w:rFonts w:ascii="Palatino Linotype" w:hAnsi="Palatino Linotype"/>
        </w:rPr>
        <w:t xml:space="preserve"> preceding the natural distribution, Hobbes’s hellish war of all against all.</w:t>
      </w:r>
    </w:p>
    <w:p w14:paraId="7EB336CD" w14:textId="57583748" w:rsidR="00E10705" w:rsidRPr="00561E28" w:rsidRDefault="00E10705" w:rsidP="00047151">
      <w:pPr>
        <w:spacing w:after="0" w:line="480" w:lineRule="auto"/>
        <w:ind w:firstLine="720"/>
        <w:rPr>
          <w:rFonts w:ascii="Palatino Linotype" w:hAnsi="Palatino Linotype"/>
        </w:rPr>
      </w:pPr>
      <w:r>
        <w:rPr>
          <w:rFonts w:ascii="Palatino Linotype" w:hAnsi="Palatino Linotype"/>
        </w:rPr>
        <w:t xml:space="preserve">However, suppose the constitutional order is established and cultural changes are set in motion that change the standards by which people evaluated the legitimacy of </w:t>
      </w:r>
      <w:r>
        <w:rPr>
          <w:rFonts w:ascii="Palatino Linotype" w:hAnsi="Palatino Linotype"/>
        </w:rPr>
        <w:lastRenderedPageBreak/>
        <w:t>property claims. Gaus has observed that there is a pre-constitutional moral order built into human culture even in anarchy.</w:t>
      </w:r>
      <w:r>
        <w:rPr>
          <w:rStyle w:val="EndnoteReference"/>
          <w:rFonts w:ascii="Palatino Linotype" w:hAnsi="Palatino Linotype"/>
        </w:rPr>
        <w:endnoteReference w:id="24"/>
      </w:r>
      <w:r>
        <w:rPr>
          <w:rFonts w:ascii="Palatino Linotype" w:hAnsi="Palatino Linotype"/>
        </w:rPr>
        <w:t xml:space="preserve">  If the legitimacy of the initial distribution becomes so transparently absent that people prefer to re-establish the constitutional order by revolutionary means, i.e. by rearranging natural distribution according to some pre- or extra-constitutional moral principle, it is not clear that Buchanan has any response other than to insist that it would be better to do so within the existing constitutional order in order to respect the individuality of those who hold the privileged positions.</w:t>
      </w:r>
    </w:p>
    <w:p w14:paraId="7A9256A8" w14:textId="77777777" w:rsidR="00E10705" w:rsidRDefault="00E10705" w:rsidP="00886CA0">
      <w:pPr>
        <w:pStyle w:val="ListParagraph"/>
        <w:numPr>
          <w:ilvl w:val="0"/>
          <w:numId w:val="1"/>
        </w:numPr>
        <w:spacing w:after="0" w:line="480" w:lineRule="auto"/>
        <w:rPr>
          <w:rFonts w:ascii="Palatino Linotype" w:hAnsi="Palatino Linotype"/>
        </w:rPr>
      </w:pPr>
      <w:r>
        <w:rPr>
          <w:rFonts w:ascii="Palatino Linotype" w:hAnsi="Palatino Linotype"/>
        </w:rPr>
        <w:t>Conclusion</w:t>
      </w:r>
    </w:p>
    <w:p w14:paraId="665A734B" w14:textId="021D91A5" w:rsidR="00E10705" w:rsidRDefault="00E10705" w:rsidP="00886CA0">
      <w:pPr>
        <w:spacing w:after="0" w:line="480" w:lineRule="auto"/>
        <w:ind w:firstLine="720"/>
        <w:rPr>
          <w:rFonts w:ascii="Palatino Linotype" w:hAnsi="Palatino Linotype"/>
        </w:rPr>
      </w:pPr>
      <w:r w:rsidRPr="00886CA0">
        <w:rPr>
          <w:rFonts w:ascii="Palatino Linotype" w:hAnsi="Palatino Linotype"/>
        </w:rPr>
        <w:t xml:space="preserve">Buchanan’s defense of the existence of the state is unique, especially in </w:t>
      </w:r>
      <w:r w:rsidRPr="00886CA0">
        <w:rPr>
          <w:rFonts w:ascii="Palatino Linotype" w:hAnsi="Palatino Linotype"/>
          <w:i/>
          <w:iCs/>
        </w:rPr>
        <w:t>The Limits of Liberty</w:t>
      </w:r>
      <w:r w:rsidRPr="00886CA0">
        <w:rPr>
          <w:rFonts w:ascii="Palatino Linotype" w:hAnsi="Palatino Linotype"/>
        </w:rPr>
        <w:t>.</w:t>
      </w:r>
      <w:r>
        <w:rPr>
          <w:rFonts w:ascii="Palatino Linotype" w:hAnsi="Palatino Linotype"/>
        </w:rPr>
        <w:t xml:space="preserve"> He is a contractarian like Hobbes and Rawls, but unlike them both he believes property rights are inescapably settled before the establishment of the state. Unlike Hobbes, he believes there are considerable limits to what the state may do to an individual. Unlike Rawls, he refrains from imposing any idealized </w:t>
      </w:r>
      <w:proofErr w:type="gramStart"/>
      <w:r>
        <w:rPr>
          <w:rFonts w:ascii="Palatino Linotype" w:hAnsi="Palatino Linotype"/>
        </w:rPr>
        <w:t>decision making</w:t>
      </w:r>
      <w:proofErr w:type="gramEnd"/>
      <w:r>
        <w:rPr>
          <w:rFonts w:ascii="Palatino Linotype" w:hAnsi="Palatino Linotype"/>
        </w:rPr>
        <w:t xml:space="preserve"> process, leaving actual, fallible human beings to do actual, costly bargaining. Like Nozick, he believes the state can only be justified if it can come about without violating anyone’s rights, but unlike Nozick he denies any historic entitlement theory of justice. Like Hayek, he believes in general rules and spontaneous order, but he is unlike Hayek in that he believes the state needs justification by a hypothetical contractarian consent model, not an evolutionary process under epistemic limits.</w:t>
      </w:r>
    </w:p>
    <w:p w14:paraId="21D02629" w14:textId="1731F8C0" w:rsidR="0046593E" w:rsidRPr="00351306" w:rsidRDefault="00E10705" w:rsidP="00D77EA4">
      <w:pPr>
        <w:spacing w:after="0" w:line="480" w:lineRule="auto"/>
        <w:ind w:firstLine="720"/>
        <w:rPr>
          <w:rFonts w:ascii="Palatino Linotype" w:hAnsi="Palatino Linotype"/>
        </w:rPr>
      </w:pPr>
      <w:r w:rsidRPr="00764F7D">
        <w:rPr>
          <w:rFonts w:ascii="Palatino Linotype" w:hAnsi="Palatino Linotype"/>
        </w:rPr>
        <w:lastRenderedPageBreak/>
        <w:t xml:space="preserve">Buchanan’s contractarian </w:t>
      </w:r>
      <w:r>
        <w:rPr>
          <w:rFonts w:ascii="Palatino Linotype" w:hAnsi="Palatino Linotype"/>
        </w:rPr>
        <w:t>approach has sparked much criticism, but equally it has borne much fruit. A large body of economic research has extended his research program, not least of which is the Nobel Prize-winning work of Elinor Ostrom.</w:t>
      </w:r>
      <w:r>
        <w:rPr>
          <w:rStyle w:val="EndnoteReference"/>
          <w:rFonts w:ascii="Palatino Linotype" w:hAnsi="Palatino Linotype"/>
        </w:rPr>
        <w:endnoteReference w:id="25"/>
      </w:r>
      <w:r>
        <w:rPr>
          <w:rFonts w:ascii="Palatino Linotype" w:hAnsi="Palatino Linotype"/>
        </w:rPr>
        <w:t xml:space="preserve"> </w:t>
      </w:r>
      <w:r w:rsidR="00764F7D">
        <w:rPr>
          <w:rFonts w:ascii="Palatino Linotype" w:hAnsi="Palatino Linotype"/>
        </w:rPr>
        <w:t xml:space="preserve">Buchanan changed the conversation </w:t>
      </w:r>
      <w:proofErr w:type="gramStart"/>
      <w:r w:rsidR="00764F7D">
        <w:rPr>
          <w:rFonts w:ascii="Palatino Linotype" w:hAnsi="Palatino Linotype"/>
        </w:rPr>
        <w:t>in</w:t>
      </w:r>
      <w:proofErr w:type="gramEnd"/>
      <w:r w:rsidR="00764F7D">
        <w:rPr>
          <w:rFonts w:ascii="Palatino Linotype" w:hAnsi="Palatino Linotype"/>
        </w:rPr>
        <w:t xml:space="preserve"> multiple fields, shifting the level of analysis from that of distributions and outcomes between political factions to that of constitutional rules and political processes.</w:t>
      </w:r>
      <w:r w:rsidR="004D706B">
        <w:rPr>
          <w:rFonts w:ascii="Palatino Linotype" w:hAnsi="Palatino Linotype"/>
        </w:rPr>
        <w:t xml:space="preserve"> Whether his justification of the state is sound is in many ways less significant than the social science it inspired, and this may well have been what he preferred.</w:t>
      </w:r>
    </w:p>
    <w:sectPr w:rsidR="0046593E" w:rsidRPr="00351306">
      <w:footerReference w:type="default" r:id="rId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34C0E" w14:textId="77777777" w:rsidR="00BC6E20" w:rsidRDefault="00BC6E20" w:rsidP="00F97549">
      <w:pPr>
        <w:spacing w:after="0" w:line="240" w:lineRule="auto"/>
      </w:pPr>
      <w:r>
        <w:separator/>
      </w:r>
    </w:p>
  </w:endnote>
  <w:endnote w:type="continuationSeparator" w:id="0">
    <w:p w14:paraId="059E05A3" w14:textId="77777777" w:rsidR="00BC6E20" w:rsidRDefault="00BC6E20" w:rsidP="00F97549">
      <w:pPr>
        <w:spacing w:after="0" w:line="240" w:lineRule="auto"/>
      </w:pPr>
      <w:r>
        <w:continuationSeparator/>
      </w:r>
    </w:p>
  </w:endnote>
  <w:endnote w:id="1">
    <w:p w14:paraId="6DD1650A" w14:textId="1D819B6F" w:rsidR="00E10705" w:rsidRDefault="00E10705">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Leviathan","type":"book"},"locator":"3","uris":["http://www.mendeley.com/documents/?uuid=0721947d-650d-496c-8268-fa4469baefbf"]}],"mendeley":{"formattedCitation":"James M. Buchanan, &lt;i&gt;The Limits of Liberty: Between Anarchy and Leviathan&lt;/i&gt;, &lt;i&gt;The Collected Works of James M. Buchanan v. 7&lt;/i&gt; (Indianapolis: Liberty Fund, 1975), p. 3.","plainTextFormattedCitation":"James M. Buchanan, The Limits of Liberty: Between Anarchy and Leviathan, The Collected Works of James M. Buchanan v. 7 (Indianapolis: Liberty Fund, 1975), p. 3.","previouslyFormattedCitation":"James M. Buchanan, &lt;i&gt;The Limits of Liberty: Between Anarchy and Leviathan&lt;/i&gt;, &lt;i&gt;The Collected Works of James M. Buchanan v. 7&lt;/i&gt; (Indianapolis: Liberty Fund, 1975), p. 3."},"properties":{"noteIndex":1},"schema":"https://github.com/citation-style-language/schema/raw/master/csl-citation.json"}</w:instrText>
      </w:r>
      <w:r>
        <w:fldChar w:fldCharType="separate"/>
      </w:r>
      <w:r w:rsidRPr="009B52B0">
        <w:rPr>
          <w:bCs/>
          <w:noProof/>
        </w:rPr>
        <w:t xml:space="preserve">James M. Buchanan, </w:t>
      </w:r>
      <w:r w:rsidRPr="009B52B0">
        <w:rPr>
          <w:bCs/>
          <w:i/>
          <w:noProof/>
        </w:rPr>
        <w:t>The Limits of Liberty: Between Anarchy and Leviathan</w:t>
      </w:r>
      <w:r w:rsidRPr="009B52B0">
        <w:rPr>
          <w:bCs/>
          <w:noProof/>
        </w:rPr>
        <w:t xml:space="preserve">, </w:t>
      </w:r>
      <w:r w:rsidRPr="009B52B0">
        <w:rPr>
          <w:bCs/>
          <w:i/>
          <w:noProof/>
        </w:rPr>
        <w:t>The Collected Works of James M. Buchanan v. 7</w:t>
      </w:r>
      <w:r w:rsidRPr="009B52B0">
        <w:rPr>
          <w:bCs/>
          <w:noProof/>
        </w:rPr>
        <w:t xml:space="preserve"> (Indianapolis: Liberty Fund, 1975), p. 3.</w:t>
      </w:r>
      <w:r>
        <w:fldChar w:fldCharType="end"/>
      </w:r>
    </w:p>
  </w:endnote>
  <w:endnote w:id="2">
    <w:p w14:paraId="7F6D0CA0" w14:textId="26D85550" w:rsidR="00E10705" w:rsidRDefault="00E10705">
      <w:pPr>
        <w:pStyle w:val="EndnoteText"/>
      </w:pPr>
      <w:r>
        <w:rPr>
          <w:rStyle w:val="EndnoteReference"/>
        </w:rPr>
        <w:endnoteRef/>
      </w:r>
      <w:r>
        <w:t xml:space="preserve"> It is unclear whether by this phrase Buchanan means (1) a tendency for any political process to arrive at objectively superior arrangements or (2) the existence of objective moral truths of any kind irrespective of whether they are acted upon.</w:t>
      </w:r>
    </w:p>
  </w:endnote>
  <w:endnote w:id="3">
    <w:p w14:paraId="59A9A44F" w14:textId="41A37A61" w:rsidR="00E10705" w:rsidRDefault="00E10705">
      <w:pPr>
        <w:pStyle w:val="EndnoteText"/>
      </w:pPr>
      <w:r>
        <w:rPr>
          <w:rStyle w:val="EndnoteReference"/>
        </w:rPr>
        <w:endnoteRef/>
      </w:r>
      <w:r>
        <w:t xml:space="preserve"> </w:t>
      </w:r>
      <w:r>
        <w:fldChar w:fldCharType="begin" w:fldLock="1"/>
      </w:r>
      <w:r>
        <w:instrText>ADDIN CSL_CITATION {"citationItems":[{"id":"ITEM-1","itemData":{"author":[{"dropping-particle":"","family":"Buchanan","given":"James M.","non-dropping-particle":"","parse-names":false,"suffix":""},{"dropping-particle":"","family":"Tullock","given":"Gordon","non-dropping-particle":"","parse-names":false,"suffix":""}],"id":"ITEM-1","issued":{"date-parts":[["1999"]]},"publisher":"Liberty Fund","publisher-place":"Indianapolis","title":"The Calculus of Consent: Logical Foundations of Constitutional Democracy","type":"book"},"locator":"3","uris":["http://www.mendeley.com/documents/?uuid=96b473ef-a992-4398-b2ed-7726ce7ed7c9"]}],"mendeley":{"formattedCitation":"James M. Buchanan and Gordon Tullock, &lt;i&gt;The Calculus of Consent: Logical Foundations of Constitutional Democracy&lt;/i&gt; (Indianapolis: Liberty Fund, 1999), p. 3.","plainTextFormattedCitation":"James M. Buchanan and Gordon Tullock, The Calculus of Consent: Logical Foundations of Constitutional Democracy (Indianapolis: Liberty Fund, 1999), p. 3.","previouslyFormattedCitation":"James M. Buchanan and Gordon Tullock, &lt;i&gt;The Calculus of Consent: Logical Foundations of Constitutional Democracy&lt;/i&gt; (Indianapolis: Liberty Fund, 1999), p. 3."},"properties":{"noteIndex":3},"schema":"https://github.com/citation-style-language/schema/raw/master/csl-citation.json"}</w:instrText>
      </w:r>
      <w:r>
        <w:fldChar w:fldCharType="separate"/>
      </w:r>
      <w:r w:rsidRPr="009B52B0">
        <w:rPr>
          <w:bCs/>
          <w:noProof/>
        </w:rPr>
        <w:t xml:space="preserve">James M. Buchanan and Gordon Tullock, </w:t>
      </w:r>
      <w:r w:rsidRPr="009B52B0">
        <w:rPr>
          <w:bCs/>
          <w:i/>
          <w:noProof/>
        </w:rPr>
        <w:t>The Calculus of Consent: Logical Foundations of Constitutional Democracy</w:t>
      </w:r>
      <w:r w:rsidRPr="009B52B0">
        <w:rPr>
          <w:bCs/>
          <w:noProof/>
        </w:rPr>
        <w:t xml:space="preserve"> (Indianapolis: Liberty Fund, 1999), p. 3.</w:t>
      </w:r>
      <w:r>
        <w:fldChar w:fldCharType="end"/>
      </w:r>
    </w:p>
  </w:endnote>
  <w:endnote w:id="4">
    <w:p w14:paraId="2225C313" w14:textId="274C826B" w:rsidR="00E10705" w:rsidRDefault="00E10705">
      <w:pPr>
        <w:pStyle w:val="EndnoteText"/>
      </w:pPr>
      <w:r>
        <w:rPr>
          <w:rStyle w:val="EndnoteReference"/>
        </w:rPr>
        <w:endnoteRef/>
      </w:r>
      <w:r>
        <w:t xml:space="preserve"> </w:t>
      </w:r>
      <w:r>
        <w:fldChar w:fldCharType="begin" w:fldLock="1"/>
      </w:r>
      <w:r>
        <w:instrText>ADDIN CSL_CITATION {"citationItems":[{"id":"ITEM-1","itemData":{"author":[{"dropping-particle":"","family":"Buchanan","given":"James M.","non-dropping-particle":"","parse-names":false,"suffix":""}],"container-title":"Moral Science and Moral Order","id":"ITEM-1","issued":{"date-parts":[["2001"]]},"page":"459-468","publisher":"Liberty Fund","publisher-place":"Indianapolis","title":"Constructivism, Cognition, and Value","type":"chapter"},"uris":["http://www.mendeley.com/documents/?uuid=9154aee8-fb0c-465d-a9a3-3f5d9dbae0f2"]}],"mendeley":{"formattedCitation":"James M. Buchanan, ‘Constructivism, Cognition, and Value’, in &lt;i&gt;Moral Science and Moral Order&lt;/i&gt; (Indianapolis: Liberty Fund, 2001), pp. 459–68.","plainTextFormattedCitation":"James M. Buchanan, ‘Constructivism, Cognition, and Value’, in Moral Science and Moral Order (Indianapolis: Liberty Fund, 2001), pp. 459–68.","previouslyFormattedCitation":"James M. Buchanan, ‘Constructivism, Cognition, and Value’, in &lt;i&gt;Moral Science and Moral Order&lt;/i&gt; (Indianapolis: Liberty Fund, 2001), pp. 459–68."},"properties":{"noteIndex":4},"schema":"https://github.com/citation-style-language/schema/raw/master/csl-citation.json"}</w:instrText>
      </w:r>
      <w:r>
        <w:fldChar w:fldCharType="separate"/>
      </w:r>
      <w:r w:rsidRPr="009B52B0">
        <w:rPr>
          <w:noProof/>
        </w:rPr>
        <w:t xml:space="preserve">James M. Buchanan, ‘Constructivism, Cognition, and Value’, in </w:t>
      </w:r>
      <w:r w:rsidRPr="009B52B0">
        <w:rPr>
          <w:i/>
          <w:noProof/>
        </w:rPr>
        <w:t>Moral Science and Moral Order</w:t>
      </w:r>
      <w:r w:rsidRPr="009B52B0">
        <w:rPr>
          <w:noProof/>
        </w:rPr>
        <w:t xml:space="preserve"> (Indianapolis: Liberty Fund, 2001), pp. 459–68.</w:t>
      </w:r>
      <w:r>
        <w:fldChar w:fldCharType="end"/>
      </w:r>
    </w:p>
  </w:endnote>
  <w:endnote w:id="5">
    <w:p w14:paraId="57BDECFA" w14:textId="66578981" w:rsidR="00E10705" w:rsidRDefault="00E10705">
      <w:pPr>
        <w:pStyle w:val="EndnoteText"/>
      </w:pPr>
      <w:r>
        <w:rPr>
          <w:rStyle w:val="EndnoteReference"/>
        </w:rPr>
        <w:endnoteRef/>
      </w:r>
      <w:r>
        <w:t xml:space="preserve"> </w:t>
      </w:r>
      <w:r>
        <w:fldChar w:fldCharType="begin" w:fldLock="1"/>
      </w:r>
      <w:r>
        <w:instrText>ADDIN CSL_CITATION {"citationItems":[{"id":"ITEM-1","itemData":{"author":[{"dropping-particle":"","family":"Buchanan","given":"James M.","non-dropping-particle":"","parse-names":false,"suffix":""}],"container-title":"What Should Economists Do?","id":"ITEM-1","issued":{"date-parts":[["1979"]]},"page":"93-114","publisher-place":"Indianapolis","title":"Natural and Artifactual Man","type":"chapter"},"uris":["http://www.mendeley.com/documents/?uuid=7c0aff27-567f-4593-83a9-7431f2155ee4"]}],"mendeley":{"formattedCitation":"James M. Buchanan, ‘Natural and Artifactual Man’, in &lt;i&gt;What Should Economists Do?&lt;/i&gt; (Indianapolis, 1979), pp. 93–114.","plainTextFormattedCitation":"James M. Buchanan, ‘Natural and Artifactual Man’, in What Should Economists Do? (Indianapolis, 1979), pp. 93–114.","previouslyFormattedCitation":"James M. Buchanan, ‘Natural and Artifactual Man’, in &lt;i&gt;What Should Economists Do?&lt;/i&gt; (Indianapolis, 1979), pp. 93–114."},"properties":{"noteIndex":5},"schema":"https://github.com/citation-style-language/schema/raw/master/csl-citation.json"}</w:instrText>
      </w:r>
      <w:r>
        <w:fldChar w:fldCharType="separate"/>
      </w:r>
      <w:r w:rsidRPr="009B52B0">
        <w:rPr>
          <w:noProof/>
        </w:rPr>
        <w:t xml:space="preserve">James M. Buchanan, ‘Natural and Artifactual Man’, in </w:t>
      </w:r>
      <w:r w:rsidRPr="009B52B0">
        <w:rPr>
          <w:i/>
          <w:noProof/>
        </w:rPr>
        <w:t>What Should Economists Do?</w:t>
      </w:r>
      <w:r w:rsidRPr="009B52B0">
        <w:rPr>
          <w:noProof/>
        </w:rPr>
        <w:t xml:space="preserve"> (Indianapolis, 1979), pp. 93–114.</w:t>
      </w:r>
      <w:r>
        <w:fldChar w:fldCharType="end"/>
      </w:r>
    </w:p>
  </w:endnote>
  <w:endnote w:id="6">
    <w:p w14:paraId="0E950CA3" w14:textId="06BFFF1D" w:rsidR="00E10705" w:rsidRDefault="00E10705">
      <w:pPr>
        <w:pStyle w:val="EndnoteText"/>
      </w:pPr>
      <w:r>
        <w:rPr>
          <w:rStyle w:val="EndnoteReference"/>
        </w:rPr>
        <w:endnoteRef/>
      </w:r>
      <w:r>
        <w:t xml:space="preserve"> </w:t>
      </w:r>
      <w:r>
        <w:fldChar w:fldCharType="begin" w:fldLock="1"/>
      </w:r>
      <w:r>
        <w:instrText>ADDIN CSL_CITATION {"citationItems":[{"id":"ITEM-1","itemData":{"author":[{"dropping-particle":"","family":"Buchanan","given":"James M.","non-dropping-particle":"","parse-names":false,"suffix":""}],"container-title":"Logical Foundations of Constitutional Liberty","id":"ITEM-1","issued":{"date-parts":[["1999"]]},"page":"244-245","publisher":"Liberty Fund","publisher-place":"Indianapolis","title":"Order Defined in the Process of Its Emergence","type":"chapter"},"uris":["http://www.mendeley.com/documents/?uuid=fbc278c9-fc54-43ac-9735-7e8b1a3065fe"]}],"mendeley":{"formattedCitation":"James M. Buchanan, ‘Order Defined in the Process of Its Emergence’, in &lt;i&gt;Logical Foundations of Constitutional Liberty&lt;/i&gt; (Indianapolis: Liberty Fund, 1999), pp. 244–45.","plainTextFormattedCitation":"James M. Buchanan, ‘Order Defined in the Process of Its Emergence’, in Logical Foundations of Constitutional Liberty (Indianapolis: Liberty Fund, 1999), pp. 244–45.","previouslyFormattedCitation":"James M. Buchanan, ‘Order Defined in the Process of Its Emergence’, in &lt;i&gt;Logical Foundations of Constitutional Liberty&lt;/i&gt; (Indianapolis: Liberty Fund, 1999), pp. 244–45."},"properties":{"noteIndex":6},"schema":"https://github.com/citation-style-language/schema/raw/master/csl-citation.json"}</w:instrText>
      </w:r>
      <w:r>
        <w:fldChar w:fldCharType="separate"/>
      </w:r>
      <w:r w:rsidRPr="009B52B0">
        <w:rPr>
          <w:noProof/>
        </w:rPr>
        <w:t xml:space="preserve">James M. Buchanan, ‘Order Defined in the Process of Its Emergence’, in </w:t>
      </w:r>
      <w:r w:rsidRPr="009B52B0">
        <w:rPr>
          <w:i/>
          <w:noProof/>
        </w:rPr>
        <w:t>Logical Foundations of Constitutional Liberty</w:t>
      </w:r>
      <w:r w:rsidRPr="009B52B0">
        <w:rPr>
          <w:noProof/>
        </w:rPr>
        <w:t xml:space="preserve"> (Indianapolis: Liberty Fund, 1999), pp. 244–45.</w:t>
      </w:r>
      <w:r>
        <w:fldChar w:fldCharType="end"/>
      </w:r>
    </w:p>
  </w:endnote>
  <w:endnote w:id="7">
    <w:p w14:paraId="773BEEC1" w14:textId="0F6E83C5" w:rsidR="00E10705" w:rsidRDefault="00E10705">
      <w:pPr>
        <w:pStyle w:val="EndnoteText"/>
      </w:pPr>
      <w:r>
        <w:rPr>
          <w:rStyle w:val="EndnoteReference"/>
        </w:rPr>
        <w:endnoteRef/>
      </w:r>
      <w:r>
        <w:t xml:space="preserve"> </w:t>
      </w:r>
      <w:r>
        <w:fldChar w:fldCharType="begin" w:fldLock="1"/>
      </w:r>
      <w:r>
        <w:instrText>ADDIN CSL_CITATION {"citationItems":[{"id":"ITEM-1","itemData":{"ISSN":"00222186, 15375285","author":[{"dropping-particle":"","family":"Buchanan","given":"James M.","non-dropping-particle":"","parse-names":false,"suffix":""}],"container-title":"The Journal of Law &amp; Economics","id":"ITEM-1","issued":{"date-parts":[["1959","10","21"]]},"page":"124-138","publisher":"[University of Chicago Press, Booth School of Business, University of Chicago, University of Chicago Law School]","title":"Positive Economics, Welfare Economics, and Political Economy","type":"article-journal","volume":"2"},"uris":["http://www.mendeley.com/documents/?uuid=54c28d35-eed7-4fdc-9d21-72e7b54491ca"]}],"mendeley":{"formattedCitation":"James M. Buchanan, ‘Positive Economics, Welfare Economics, and Political Economy’, &lt;i&gt;The Journal of Law &amp; Economics&lt;/i&gt;, 2 (1959), 124–38 &lt;http://www.jstor.org/stable/724934&gt;.","plainTextFormattedCitation":"James M. Buchanan, ‘Positive Economics, Welfare Economics, and Political Economy’, The Journal of Law &amp; Economics, 2 (1959), 124–38 .","previouslyFormattedCitation":"James M. Buchanan, ‘Positive Economics, Welfare Economics, and Political Economy’, &lt;i&gt;The Journal of Law &amp; Economics&lt;/i&gt;, 2 (1959), 124–38 &lt;http://www.jstor.org/stable/724934&gt;."},"properties":{"noteIndex":7},"schema":"https://github.com/citation-style-language/schema/raw/master/csl-citation.json"}</w:instrText>
      </w:r>
      <w:r>
        <w:fldChar w:fldCharType="separate"/>
      </w:r>
      <w:r w:rsidRPr="00E10705">
        <w:rPr>
          <w:noProof/>
        </w:rPr>
        <w:t xml:space="preserve">James M. Buchanan, ‘Positive Economics, Welfare Economics, and Political Economy’, </w:t>
      </w:r>
      <w:r w:rsidRPr="00E10705">
        <w:rPr>
          <w:i/>
          <w:noProof/>
        </w:rPr>
        <w:t>The Journal of Law &amp; Economics</w:t>
      </w:r>
      <w:r w:rsidRPr="00E10705">
        <w:rPr>
          <w:noProof/>
        </w:rPr>
        <w:t>, 2 (1959), 124–38 &lt;http://www.jstor.org/stable/724934&gt;.</w:t>
      </w:r>
      <w:r>
        <w:fldChar w:fldCharType="end"/>
      </w:r>
    </w:p>
  </w:endnote>
  <w:endnote w:id="8">
    <w:p w14:paraId="63714278" w14:textId="1AEB4BE5" w:rsidR="00E10705" w:rsidRDefault="00E10705">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Leviathan","type":"book"},"locator":"4","uris":["http://www.mendeley.com/documents/?uuid=0721947d-650d-496c-8268-fa4469baefbf"]}],"mendeley":{"formattedCitation":"Buchanan, &lt;i&gt;The Limits of Liberty: Between Anarchy and Leviathan&lt;/i&gt;, p. 4.","plainTextFormattedCitation":"Buchanan, The Limits of Liberty: Between Anarchy and Leviathan, p. 4.","previouslyFormattedCitation":"Buchanan, &lt;i&gt;The Limits of Liberty: Between Anarchy and Leviathan&lt;/i&gt;, p. 4."},"properties":{"noteIndex":8},"schema":"https://github.com/citation-style-language/schema/raw/master/csl-citation.json"}</w:instrText>
      </w:r>
      <w:r>
        <w:fldChar w:fldCharType="separate"/>
      </w:r>
      <w:r w:rsidRPr="0007432F">
        <w:rPr>
          <w:bCs/>
          <w:noProof/>
        </w:rPr>
        <w:t xml:space="preserve">Buchanan, </w:t>
      </w:r>
      <w:r w:rsidRPr="0007432F">
        <w:rPr>
          <w:bCs/>
          <w:i/>
          <w:noProof/>
        </w:rPr>
        <w:t>The Limits of Liberty: Between Anarchy and Leviathan</w:t>
      </w:r>
      <w:r w:rsidRPr="0007432F">
        <w:rPr>
          <w:bCs/>
          <w:noProof/>
        </w:rPr>
        <w:t>, p. 4.</w:t>
      </w:r>
      <w:r>
        <w:fldChar w:fldCharType="end"/>
      </w:r>
    </w:p>
  </w:endnote>
  <w:endnote w:id="9">
    <w:p w14:paraId="0FAA412B" w14:textId="79E1AE80" w:rsidR="00E10705" w:rsidRDefault="00E10705">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Leviathan","type":"book"},"locator":"5","uris":["http://www.mendeley.com/documents/?uuid=0721947d-650d-496c-8268-fa4469baefbf"]}],"mendeley":{"formattedCitation":"Buchanan, &lt;i&gt;The Limits of Liberty: Between Anarchy and Leviathan&lt;/i&gt;, p. 5.","plainTextFormattedCitation":"Buchanan, The Limits of Liberty: Between Anarchy and Leviathan, p. 5.","previouslyFormattedCitation":"Buchanan, &lt;i&gt;The Limits of Liberty: Between Anarchy and Leviathan&lt;/i&gt;, p. 5."},"properties":{"noteIndex":9},"schema":"https://github.com/citation-style-language/schema/raw/master/csl-citation.json"}</w:instrText>
      </w:r>
      <w:r>
        <w:fldChar w:fldCharType="separate"/>
      </w:r>
      <w:r w:rsidRPr="0007432F">
        <w:rPr>
          <w:bCs/>
          <w:noProof/>
        </w:rPr>
        <w:t xml:space="preserve">Buchanan, </w:t>
      </w:r>
      <w:r w:rsidRPr="0007432F">
        <w:rPr>
          <w:bCs/>
          <w:i/>
          <w:noProof/>
        </w:rPr>
        <w:t>The Limits of Liberty: Between Anarchy and Leviathan</w:t>
      </w:r>
      <w:r w:rsidRPr="0007432F">
        <w:rPr>
          <w:bCs/>
          <w:noProof/>
        </w:rPr>
        <w:t>, p. 5.</w:t>
      </w:r>
      <w:r>
        <w:fldChar w:fldCharType="end"/>
      </w:r>
    </w:p>
  </w:endnote>
  <w:endnote w:id="10">
    <w:p w14:paraId="2B03E510" w14:textId="2ACE1100" w:rsidR="00E10705" w:rsidRDefault="00E10705">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Leviathan","type":"book"},"locator":"5","uris":["http://www.mendeley.com/documents/?uuid=0721947d-650d-496c-8268-fa4469baefbf"]}],"mendeley":{"formattedCitation":"Buchanan, &lt;i&gt;The Limits of Liberty: Between Anarchy and Leviathan&lt;/i&gt;, p. 5.","plainTextFormattedCitation":"Buchanan, The Limits of Liberty: Between Anarchy and Leviathan, p. 5.","previouslyFormattedCitation":"Buchanan, &lt;i&gt;The Limits of Liberty: Between Anarchy and Leviathan&lt;/i&gt;, p. 5."},"properties":{"noteIndex":10},"schema":"https://github.com/citation-style-language/schema/raw/master/csl-citation.json"}</w:instrText>
      </w:r>
      <w:r>
        <w:fldChar w:fldCharType="separate"/>
      </w:r>
      <w:r w:rsidRPr="0007432F">
        <w:rPr>
          <w:bCs/>
          <w:noProof/>
        </w:rPr>
        <w:t xml:space="preserve">Buchanan, </w:t>
      </w:r>
      <w:r w:rsidRPr="0007432F">
        <w:rPr>
          <w:bCs/>
          <w:i/>
          <w:noProof/>
        </w:rPr>
        <w:t>The Limits of Liberty: Between Anarchy and Leviathan</w:t>
      </w:r>
      <w:r w:rsidRPr="0007432F">
        <w:rPr>
          <w:bCs/>
          <w:noProof/>
        </w:rPr>
        <w:t>, p. 5.</w:t>
      </w:r>
      <w:r>
        <w:fldChar w:fldCharType="end"/>
      </w:r>
    </w:p>
  </w:endnote>
  <w:endnote w:id="11">
    <w:p w14:paraId="4DB54B49" w14:textId="7FEF4313" w:rsidR="00E10705" w:rsidRDefault="00E10705">
      <w:pPr>
        <w:pStyle w:val="EndnoteText"/>
      </w:pPr>
      <w:r>
        <w:rPr>
          <w:rStyle w:val="EndnoteReference"/>
        </w:rPr>
        <w:endnoteRef/>
      </w:r>
      <w:r>
        <w:t xml:space="preserve"> </w:t>
      </w:r>
      <w:r>
        <w:fldChar w:fldCharType="begin" w:fldLock="1"/>
      </w:r>
      <w:r>
        <w:instrText>ADDIN CSL_CITATION {"citationItems":[{"id":"ITEM-1","itemData":{"author":[{"dropping-particle":"","family":"Buchanan","given":"James M.","non-dropping-particle":"","parse-names":false,"suffix":""},{"dropping-particle":"","family":"Tullock","given":"Gordon","non-dropping-particle":"","parse-names":false,"suffix":""}],"id":"ITEM-1","issued":{"date-parts":[["1999"]]},"publisher":"Liberty Fund","publisher-place":"Indianapolis","title":"The Calculus of Consent: Logical Foundations of Constitutional Democracy","type":"book"},"locator":"6","uris":["http://www.mendeley.com/documents/?uuid=96b473ef-a992-4398-b2ed-7726ce7ed7c9"]}],"mendeley":{"formattedCitation":"Buchanan and Tullock, p. 6.","plainTextFormattedCitation":"Buchanan and Tullock, p. 6.","previouslyFormattedCitation":"Buchanan and Tullock, p. 6."},"properties":{"noteIndex":11},"schema":"https://github.com/citation-style-language/schema/raw/master/csl-citation.json"}</w:instrText>
      </w:r>
      <w:r>
        <w:fldChar w:fldCharType="separate"/>
      </w:r>
      <w:r w:rsidRPr="009B52B0">
        <w:rPr>
          <w:bCs/>
          <w:noProof/>
        </w:rPr>
        <w:t>Buchanan and Tullock, p. 6.</w:t>
      </w:r>
      <w:r>
        <w:fldChar w:fldCharType="end"/>
      </w:r>
    </w:p>
  </w:endnote>
  <w:endnote w:id="12">
    <w:p w14:paraId="4ED2453D" w14:textId="191FE9D6" w:rsidR="00E10705" w:rsidRDefault="00E10705">
      <w:pPr>
        <w:pStyle w:val="EndnoteText"/>
      </w:pPr>
      <w:r>
        <w:rPr>
          <w:rStyle w:val="EndnoteReference"/>
        </w:rPr>
        <w:endnoteRef/>
      </w:r>
      <w:r>
        <w:t xml:space="preserve"> </w:t>
      </w:r>
      <w:r>
        <w:fldChar w:fldCharType="begin" w:fldLock="1"/>
      </w:r>
      <w:r>
        <w:instrText>ADDIN CSL_CITATION {"citationItems":[{"id":"ITEM-1","itemData":{"author":[{"dropping-particle":"","family":"Buchanan","given":"James M.","non-dropping-particle":"","parse-names":false,"suffix":""},{"dropping-particle":"","family":"Tullock","given":"Gordon","non-dropping-particle":"","parse-names":false,"suffix":""}],"id":"ITEM-1","issued":{"date-parts":[["1999"]]},"publisher":"Liberty Fund","publisher-place":"Indianapolis","title":"The Calculus of Consent: Logical Foundations of Constitutional Democracy","type":"book"},"label":"chapter","locator":"9","uris":["http://www.mendeley.com/documents/?uuid=96b473ef-a992-4398-b2ed-7726ce7ed7c9"]}],"mendeley":{"formattedCitation":"Buchanan and Tullock, chap. 9.","plainTextFormattedCitation":"Buchanan and Tullock, chap. 9.","previouslyFormattedCitation":"Buchanan and Tullock, chap. 9."},"properties":{"noteIndex":12},"schema":"https://github.com/citation-style-language/schema/raw/master/csl-citation.json"}</w:instrText>
      </w:r>
      <w:r>
        <w:fldChar w:fldCharType="separate"/>
      </w:r>
      <w:r w:rsidRPr="009B52B0">
        <w:rPr>
          <w:bCs/>
          <w:noProof/>
        </w:rPr>
        <w:t>Buchanan and Tullock, chap. 9.</w:t>
      </w:r>
      <w:r>
        <w:fldChar w:fldCharType="end"/>
      </w:r>
    </w:p>
  </w:endnote>
  <w:endnote w:id="13">
    <w:p w14:paraId="58CECDA0" w14:textId="48083198" w:rsidR="00E10705" w:rsidRDefault="00E10705">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Leviathan","type":"book"},"locator":"38","uris":["http://www.mendeley.com/documents/?uuid=0721947d-650d-496c-8268-fa4469baefbf"]}],"mendeley":{"formattedCitation":"Buchanan, &lt;i&gt;The Limits of Liberty: Between Anarchy and Leviathan&lt;/i&gt;, p. 38.","plainTextFormattedCitation":"Buchanan, The Limits of Liberty: Between Anarchy and Leviathan, p. 38.","previouslyFormattedCitation":"Buchanan, &lt;i&gt;The Limits of Liberty: Between Anarchy and Leviathan&lt;/i&gt;, p. 38."},"properties":{"noteIndex":13},"schema":"https://github.com/citation-style-language/schema/raw/master/csl-citation.json"}</w:instrText>
      </w:r>
      <w:r>
        <w:fldChar w:fldCharType="separate"/>
      </w:r>
      <w:r w:rsidRPr="0007432F">
        <w:rPr>
          <w:bCs/>
          <w:noProof/>
        </w:rPr>
        <w:t xml:space="preserve">Buchanan, </w:t>
      </w:r>
      <w:r w:rsidRPr="0007432F">
        <w:rPr>
          <w:bCs/>
          <w:i/>
          <w:noProof/>
        </w:rPr>
        <w:t>The Limits of Liberty: Between Anarchy and Leviathan</w:t>
      </w:r>
      <w:r w:rsidRPr="0007432F">
        <w:rPr>
          <w:bCs/>
          <w:noProof/>
        </w:rPr>
        <w:t>, p. 38.</w:t>
      </w:r>
      <w:r>
        <w:fldChar w:fldCharType="end"/>
      </w:r>
    </w:p>
  </w:endnote>
  <w:endnote w:id="14">
    <w:p w14:paraId="338A751E" w14:textId="083034C4" w:rsidR="00E10705" w:rsidRDefault="00E10705">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Leviathan","type":"book"},"locator":"101","uris":["http://www.mendeley.com/documents/?uuid=0721947d-650d-496c-8268-fa4469baefbf"]}],"mendeley":{"formattedCitation":"Buchanan, &lt;i&gt;The Limits of Liberty: Between Anarchy and Leviathan&lt;/i&gt;, p. 101.","plainTextFormattedCitation":"Buchanan, The Limits of Liberty: Between Anarchy and Leviathan, p. 101.","previouslyFormattedCitation":"Buchanan, &lt;i&gt;The Limits of Liberty: Between Anarchy and Leviathan&lt;/i&gt;, p. 101."},"properties":{"noteIndex":14},"schema":"https://github.com/citation-style-language/schema/raw/master/csl-citation.json"}</w:instrText>
      </w:r>
      <w:r>
        <w:fldChar w:fldCharType="separate"/>
      </w:r>
      <w:r w:rsidRPr="0007432F">
        <w:rPr>
          <w:noProof/>
        </w:rPr>
        <w:t xml:space="preserve">Buchanan, </w:t>
      </w:r>
      <w:r w:rsidRPr="0007432F">
        <w:rPr>
          <w:i/>
          <w:noProof/>
        </w:rPr>
        <w:t>The Limits of Liberty: Between Anarchy and Leviathan</w:t>
      </w:r>
      <w:r w:rsidRPr="0007432F">
        <w:rPr>
          <w:noProof/>
        </w:rPr>
        <w:t>, p. 101.</w:t>
      </w:r>
      <w:r>
        <w:fldChar w:fldCharType="end"/>
      </w:r>
    </w:p>
  </w:endnote>
  <w:endnote w:id="15">
    <w:p w14:paraId="493C63A3" w14:textId="4C81D154" w:rsidR="00E10705" w:rsidRDefault="00E10705">
      <w:pPr>
        <w:pStyle w:val="EndnoteText"/>
      </w:pPr>
      <w:r>
        <w:rPr>
          <w:rStyle w:val="EndnoteReference"/>
        </w:rPr>
        <w:endnoteRef/>
      </w:r>
      <w:r>
        <w:t xml:space="preserve"> One’s rights are not truly “violated” as, in this framework, one does not have these rights. Furthermore, one could imagine providing public goods among subgroups of the polity, but this would add little to the analysis at this point beyond recommending a federalist structure to the state.</w:t>
      </w:r>
    </w:p>
  </w:endnote>
  <w:endnote w:id="16">
    <w:p w14:paraId="19187B2E" w14:textId="03264838" w:rsidR="00E10705" w:rsidRDefault="00E10705">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Leviathan","type":"book"},"locator":"66","uris":["http://www.mendeley.com/documents/?uuid=0721947d-650d-496c-8268-fa4469baefbf"]}],"mendeley":{"formattedCitation":"Buchanan, &lt;i&gt;The Limits of Liberty: Between Anarchy and Leviathan&lt;/i&gt;, p. 66.","plainTextFormattedCitation":"Buchanan, The Limits of Liberty: Between Anarchy and Leviathan, p. 66.","previouslyFormattedCitation":"Buchanan, &lt;i&gt;The Limits of Liberty: Between Anarchy and Leviathan&lt;/i&gt;, p. 66."},"properties":{"noteIndex":16},"schema":"https://github.com/citation-style-language/schema/raw/master/csl-citation.json"}</w:instrText>
      </w:r>
      <w:r>
        <w:fldChar w:fldCharType="separate"/>
      </w:r>
      <w:r w:rsidRPr="0007432F">
        <w:rPr>
          <w:bCs/>
          <w:noProof/>
        </w:rPr>
        <w:t xml:space="preserve">Buchanan, </w:t>
      </w:r>
      <w:r w:rsidRPr="0007432F">
        <w:rPr>
          <w:bCs/>
          <w:i/>
          <w:noProof/>
        </w:rPr>
        <w:t>The Limits of Liberty: Between Anarchy and Leviathan</w:t>
      </w:r>
      <w:r w:rsidRPr="0007432F">
        <w:rPr>
          <w:bCs/>
          <w:noProof/>
        </w:rPr>
        <w:t>, p. 66.</w:t>
      </w:r>
      <w:r>
        <w:fldChar w:fldCharType="end"/>
      </w:r>
    </w:p>
  </w:endnote>
  <w:endnote w:id="17">
    <w:p w14:paraId="629F5C90" w14:textId="2A025E2C" w:rsidR="00E10705" w:rsidRDefault="00E10705" w:rsidP="000665D7">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Leviathan","type":"book"},"locator":"87","uris":["http://www.mendeley.com/documents/?uuid=0721947d-650d-496c-8268-fa4469baefbf"]}],"mendeley":{"formattedCitation":"Buchanan, &lt;i&gt;The Limits of Liberty: Between Anarchy and Leviathan&lt;/i&gt;, p. 87.","plainTextFormattedCitation":"Buchanan, The Limits of Liberty: Between Anarchy and Leviathan, p. 87.","previouslyFormattedCitation":"Buchanan, &lt;i&gt;The Limits of Liberty: Between Anarchy and Leviathan&lt;/i&gt;, p. 87."},"properties":{"noteIndex":17},"schema":"https://github.com/citation-style-language/schema/raw/master/csl-citation.json"}</w:instrText>
      </w:r>
      <w:r>
        <w:fldChar w:fldCharType="separate"/>
      </w:r>
      <w:r w:rsidRPr="0007432F">
        <w:rPr>
          <w:bCs/>
          <w:noProof/>
        </w:rPr>
        <w:t xml:space="preserve">Buchanan, </w:t>
      </w:r>
      <w:r w:rsidRPr="0007432F">
        <w:rPr>
          <w:bCs/>
          <w:i/>
          <w:noProof/>
        </w:rPr>
        <w:t>The Limits of Liberty: Between Anarchy and Leviathan</w:t>
      </w:r>
      <w:r w:rsidRPr="0007432F">
        <w:rPr>
          <w:bCs/>
          <w:noProof/>
        </w:rPr>
        <w:t>, p. 87.</w:t>
      </w:r>
      <w:r>
        <w:fldChar w:fldCharType="end"/>
      </w:r>
    </w:p>
  </w:endnote>
  <w:endnote w:id="18">
    <w:p w14:paraId="6987BAFF" w14:textId="6B383E61" w:rsidR="00E10705" w:rsidRDefault="00E10705">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Leviathan","type":"book"},"locator":"88","uris":["http://www.mendeley.com/documents/?uuid=0721947d-650d-496c-8268-fa4469baefbf"]}],"mendeley":{"formattedCitation":"Buchanan, &lt;i&gt;The Limits of Liberty: Between Anarchy and Leviathan&lt;/i&gt;, p. 88.","plainTextFormattedCitation":"Buchanan, The Limits of Liberty: Between Anarchy and Leviathan, p. 88.","previouslyFormattedCitation":"Buchanan, &lt;i&gt;The Limits of Liberty: Between Anarchy and Leviathan&lt;/i&gt;, p. 88."},"properties":{"noteIndex":18},"schema":"https://github.com/citation-style-language/schema/raw/master/csl-citation.json"}</w:instrText>
      </w:r>
      <w:r>
        <w:fldChar w:fldCharType="separate"/>
      </w:r>
      <w:r w:rsidRPr="0007432F">
        <w:rPr>
          <w:bCs/>
          <w:noProof/>
        </w:rPr>
        <w:t xml:space="preserve">Buchanan, </w:t>
      </w:r>
      <w:r w:rsidRPr="0007432F">
        <w:rPr>
          <w:bCs/>
          <w:i/>
          <w:noProof/>
        </w:rPr>
        <w:t>The Limits of Liberty: Between Anarchy and Leviathan</w:t>
      </w:r>
      <w:r w:rsidRPr="0007432F">
        <w:rPr>
          <w:bCs/>
          <w:noProof/>
        </w:rPr>
        <w:t>, p. 88.</w:t>
      </w:r>
      <w:r>
        <w:fldChar w:fldCharType="end"/>
      </w:r>
    </w:p>
  </w:endnote>
  <w:endnote w:id="19">
    <w:p w14:paraId="08CBAEFF" w14:textId="095CF76D" w:rsidR="00E10705" w:rsidRDefault="00E10705">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Leviathan","type":"book"},"locator":"102","uris":["http://www.mendeley.com/documents/?uuid=0721947d-650d-496c-8268-fa4469baefbf"]}],"mendeley":{"formattedCitation":"Buchanan, &lt;i&gt;The Limits of Liberty: Between Anarchy and Leviathan&lt;/i&gt;, p. 102.","plainTextFormattedCitation":"Buchanan, The Limits of Liberty: Between Anarchy and Leviathan, p. 102.","previouslyFormattedCitation":"Buchanan, &lt;i&gt;The Limits of Liberty: Between Anarchy and Leviathan&lt;/i&gt;, p. 102."},"properties":{"noteIndex":19},"schema":"https://github.com/citation-style-language/schema/raw/master/csl-citation.json"}</w:instrText>
      </w:r>
      <w:r>
        <w:fldChar w:fldCharType="separate"/>
      </w:r>
      <w:r w:rsidRPr="0007432F">
        <w:rPr>
          <w:noProof/>
        </w:rPr>
        <w:t xml:space="preserve">Buchanan, </w:t>
      </w:r>
      <w:r w:rsidRPr="0007432F">
        <w:rPr>
          <w:i/>
          <w:noProof/>
        </w:rPr>
        <w:t>The Limits of Liberty: Between Anarchy and Leviathan</w:t>
      </w:r>
      <w:r w:rsidRPr="0007432F">
        <w:rPr>
          <w:noProof/>
        </w:rPr>
        <w:t>, p. 102.</w:t>
      </w:r>
      <w:r>
        <w:fldChar w:fldCharType="end"/>
      </w:r>
    </w:p>
  </w:endnote>
  <w:endnote w:id="20">
    <w:p w14:paraId="3E599BD5" w14:textId="15299FF3" w:rsidR="00E10705" w:rsidRDefault="00E10705">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Leviathan","type":"book"},"locator":"108","uris":["http://www.mendeley.com/documents/?uuid=0721947d-650d-496c-8268-fa4469baefbf"]}],"mendeley":{"formattedCitation":"Buchanan, &lt;i&gt;The Limits of Liberty: Between Anarchy and Leviathan&lt;/i&gt;, p. 108.","plainTextFormattedCitation":"Buchanan, The Limits of Liberty: Between Anarchy and Leviathan, p. 108.","previouslyFormattedCitation":"Buchanan, &lt;i&gt;The Limits of Liberty: Between Anarchy and Leviathan&lt;/i&gt;, p. 108."},"properties":{"noteIndex":20},"schema":"https://github.com/citation-style-language/schema/raw/master/csl-citation.json"}</w:instrText>
      </w:r>
      <w:r>
        <w:fldChar w:fldCharType="separate"/>
      </w:r>
      <w:r w:rsidRPr="0007432F">
        <w:rPr>
          <w:noProof/>
        </w:rPr>
        <w:t xml:space="preserve">Buchanan, </w:t>
      </w:r>
      <w:r w:rsidRPr="0007432F">
        <w:rPr>
          <w:i/>
          <w:noProof/>
        </w:rPr>
        <w:t>The Limits of Liberty: Between Anarchy and Leviathan</w:t>
      </w:r>
      <w:r w:rsidRPr="0007432F">
        <w:rPr>
          <w:noProof/>
        </w:rPr>
        <w:t>, p. 108.</w:t>
      </w:r>
      <w:r>
        <w:fldChar w:fldCharType="end"/>
      </w:r>
    </w:p>
  </w:endnote>
  <w:endnote w:id="21">
    <w:p w14:paraId="2B4C0600" w14:textId="1062D6AD" w:rsidR="00E10705" w:rsidRDefault="00E10705">
      <w:pPr>
        <w:pStyle w:val="EndnoteText"/>
      </w:pPr>
      <w:r>
        <w:rPr>
          <w:rStyle w:val="EndnoteReference"/>
        </w:rPr>
        <w:endnoteRef/>
      </w:r>
      <w:r>
        <w:t xml:space="preserve"> </w:t>
      </w:r>
      <w:r>
        <w:fldChar w:fldCharType="begin" w:fldLock="1"/>
      </w:r>
      <w:r>
        <w:instrText>ADDIN CSL_CITATION {"citationItems":[{"id":"ITEM-1","itemData":{"ISBN":"0865972257; 9780865972254; 0865972265; 9780865972261","author":[{"dropping-particle":"","family":"Buchanan","given":"James M.","non-dropping-particle":"","parse-names":false,"suffix":""}],"container-title":"The collected works of James M. Buchanan v. 7","id":"ITEM-1","issued":{"date-parts":[["1975"]]},"language":"English","publisher":"Liberty Fund","publisher-place":"Indianapolis","title":"The Limits of Liberty: Between Anarchy and Leviathan","type":"book"},"locator":"104","uris":["http://www.mendeley.com/documents/?uuid=0721947d-650d-496c-8268-fa4469baefbf"]}],"mendeley":{"formattedCitation":"Buchanan, &lt;i&gt;The Limits of Liberty: Between Anarchy and Leviathan&lt;/i&gt;, p. 104.","plainTextFormattedCitation":"Buchanan, The Limits of Liberty: Between Anarchy and Leviathan, p. 104.","previouslyFormattedCitation":"Buchanan, &lt;i&gt;The Limits of Liberty: Between Anarchy and Leviathan&lt;/i&gt;, p. 104."},"properties":{"noteIndex":21},"schema":"https://github.com/citation-style-language/schema/raw/master/csl-citation.json"}</w:instrText>
      </w:r>
      <w:r>
        <w:fldChar w:fldCharType="separate"/>
      </w:r>
      <w:r w:rsidRPr="0007432F">
        <w:rPr>
          <w:noProof/>
        </w:rPr>
        <w:t xml:space="preserve">Buchanan, </w:t>
      </w:r>
      <w:r w:rsidRPr="0007432F">
        <w:rPr>
          <w:i/>
          <w:noProof/>
        </w:rPr>
        <w:t>The Limits of Liberty: Between Anarchy and Leviathan</w:t>
      </w:r>
      <w:r w:rsidRPr="0007432F">
        <w:rPr>
          <w:noProof/>
        </w:rPr>
        <w:t>, p. 104.</w:t>
      </w:r>
      <w:r>
        <w:fldChar w:fldCharType="end"/>
      </w:r>
    </w:p>
  </w:endnote>
  <w:endnote w:id="22">
    <w:p w14:paraId="5E34C2A2" w14:textId="1F36890D" w:rsidR="00E10705" w:rsidRDefault="00E10705">
      <w:pPr>
        <w:pStyle w:val="EndnoteText"/>
      </w:pPr>
      <w:r>
        <w:rPr>
          <w:rStyle w:val="EndnoteReference"/>
        </w:rPr>
        <w:endnoteRef/>
      </w:r>
      <w:r>
        <w:t xml:space="preserve"> </w:t>
      </w:r>
      <w:r>
        <w:fldChar w:fldCharType="begin" w:fldLock="1"/>
      </w:r>
      <w:r>
        <w:instrText>ADDIN CSL_CITATION {"citationItems":[{"id":"ITEM-1","itemData":{"DOI":"10.1023/B:COPE.0000029641.48448.19","ISSN":"1572-9966","abstract":"That it favors the status quo is one of the most common and persistent objections raised against the contractarian-constitutionalist approach and, specifically, against its emphasis on voluntary agreement as the fundamental legitimizing principle for social reform. This paper seeks to clarify certain ambiguities that have surrounded the arguments of critics as well as contractarian responses to them. Its main emphasis will be on separating two issues the differences between which have not always been sufficiently recognized in the debate, namely, on the one hand, the role of the status quo as the inevitable starting point of any change and, on the other hand, the issue of the normative evaluation of the status quo.","author":[{"dropping-particle":"","family":"Vanberg","given":"Viktor J","non-dropping-particle":"","parse-names":false,"suffix":""}],"container-title":"Constitutional Political Economy","id":"ITEM-1","issue":"2","issued":{"date-parts":[["2004"]]},"page":"153-170","title":"The Status Quo in Contractarian-Constitutionalist Perspective","type":"article-journal","volume":"15"},"suppress-author":1,"uris":["http://www.mendeley.com/documents/?uuid=b2b48867-fcdd-4c31-8e0b-88b536c526ca"]}],"mendeley":{"formattedCitation":"‘The Status Quo in Contractarian-Constitutionalist Perspective’, &lt;i&gt;Constitutional Political Economy&lt;/i&gt;, 15.2 (2004), 153–70 &lt;https://doi.org/10.1023/B:COPE.0000029641.48448.19&gt;.","plainTextFormattedCitation":"‘The Status Quo in Contractarian-Constitutionalist Perspective’, Constitutional Political Economy, 15.2 (2004), 153–70 .","previouslyFormattedCitation":"‘The Status Quo in Contractarian-Constitutionalist Perspective’, &lt;i&gt;Constitutional Political Economy&lt;/i&gt;, 15.2 (2004), 153–70 &lt;https://doi.org/10.1023/B:COPE.0000029641.48448.19&gt;."},"properties":{"noteIndex":22},"schema":"https://github.com/citation-style-language/schema/raw/master/csl-citation.json"}</w:instrText>
      </w:r>
      <w:r>
        <w:fldChar w:fldCharType="separate"/>
      </w:r>
      <w:r w:rsidRPr="00E10705">
        <w:rPr>
          <w:noProof/>
        </w:rPr>
        <w:t xml:space="preserve">‘The Status Quo in Contractarian-Constitutionalist Perspective’, </w:t>
      </w:r>
      <w:r w:rsidRPr="00E10705">
        <w:rPr>
          <w:i/>
          <w:noProof/>
        </w:rPr>
        <w:t>Constitutional Political Economy</w:t>
      </w:r>
      <w:r w:rsidRPr="00E10705">
        <w:rPr>
          <w:noProof/>
        </w:rPr>
        <w:t>, 15.2 (2004), 153–70 &lt;https://doi.org/10.1023/B:COPE.0000029641.48448.19&gt;.</w:t>
      </w:r>
      <w:r>
        <w:fldChar w:fldCharType="end"/>
      </w:r>
    </w:p>
  </w:endnote>
  <w:endnote w:id="23">
    <w:p w14:paraId="3137A451" w14:textId="79DCD6F1" w:rsidR="00E10705" w:rsidRDefault="00E10705">
      <w:pPr>
        <w:pStyle w:val="EndnoteText"/>
      </w:pPr>
      <w:r>
        <w:rPr>
          <w:rStyle w:val="EndnoteReference"/>
        </w:rPr>
        <w:endnoteRef/>
      </w:r>
      <w:r>
        <w:t xml:space="preserve"> </w:t>
      </w:r>
      <w:r>
        <w:fldChar w:fldCharType="begin" w:fldLock="1"/>
      </w:r>
      <w:r>
        <w:instrText>ADDIN CSL_CITATION {"citationItems":[{"id":"ITEM-1","itemData":{"DOI":"10.1023/B:COPE.0000029641.48448.19","ISSN":"1572-9966","abstract":"That it favors the status quo is one of the most common and persistent objections raised against the contractarian-constitutionalist approach and, specifically, against its emphasis on voluntary agreement as the fundamental legitimizing principle for social reform. This paper seeks to clarify certain ambiguities that have surrounded the arguments of critics as well as contractarian responses to them. Its main emphasis will be on separating two issues the differences between which have not always been sufficiently recognized in the debate, namely, on the one hand, the role of the status quo as the inevitable starting point of any change and, on the other hand, the issue of the normative evaluation of the status quo.","author":[{"dropping-particle":"","family":"Vanberg","given":"Viktor J","non-dropping-particle":"","parse-names":false,"suffix":""}],"container-title":"Constitutional Political Economy","id":"ITEM-1","issue":"2","issued":{"date-parts":[["2004"]]},"page":"153-170","title":"The Status Quo in Contractarian-Constitutionalist Perspective","type":"article-journal","volume":"15"},"locator":"164","uris":["http://www.mendeley.com/documents/?uuid=b2b48867-fcdd-4c31-8e0b-88b536c526ca"]}],"mendeley":{"formattedCitation":"Vanberg, p. 164.","plainTextFormattedCitation":"Vanberg, p. 164.","previouslyFormattedCitation":"Vanberg, p. 164."},"properties":{"noteIndex":23},"schema":"https://github.com/citation-style-language/schema/raw/master/csl-citation.json"}</w:instrText>
      </w:r>
      <w:r>
        <w:fldChar w:fldCharType="separate"/>
      </w:r>
      <w:r w:rsidRPr="009B52B0">
        <w:rPr>
          <w:noProof/>
        </w:rPr>
        <w:t>Vanberg, p. 164.</w:t>
      </w:r>
      <w:r>
        <w:fldChar w:fldCharType="end"/>
      </w:r>
    </w:p>
  </w:endnote>
  <w:endnote w:id="24">
    <w:p w14:paraId="33A5E7E6" w14:textId="39F7A6A0" w:rsidR="00E10705" w:rsidRDefault="00E10705">
      <w:pPr>
        <w:pStyle w:val="EndnoteText"/>
      </w:pPr>
      <w:r>
        <w:rPr>
          <w:rStyle w:val="EndnoteReference"/>
        </w:rPr>
        <w:endnoteRef/>
      </w:r>
      <w:r>
        <w:t xml:space="preserve"> </w:t>
      </w:r>
      <w:r>
        <w:fldChar w:fldCharType="begin" w:fldLock="1"/>
      </w:r>
      <w:r>
        <w:instrText>ADDIN CSL_CITATION {"citationItems":[{"id":"ITEM-1","itemData":{"author":[{"dropping-particle":"","family":"Gaus","given":"Gerald","non-dropping-particle":"","parse-names":false,"suffix":""}],"container-title":"Buchanan's Tensions: Reexamining the Political Economy and Philosophy of James M. Buchanan","id":"ITEM-1","issued":{"date-parts":[["2018"]]},"page":"117-145","publisher":"Mercatus Center","title":"It Can't Be Rational Choice All the Way Down","type":"chapter"},"uris":["http://www.mendeley.com/documents/?uuid=909615cb-33de-4942-8e31-aba5772963d7"]}],"mendeley":{"formattedCitation":"Gerald Gaus, ‘It Can’t Be Rational Choice All the Way Down’, in &lt;i&gt;Buchanan’s Tensions: Reexamining the Political Economy and Philosophy of James M. Buchanan&lt;/i&gt; (Mercatus Center, 2018), pp. 117–45.","plainTextFormattedCitation":"Gerald Gaus, ‘It Can’t Be Rational Choice All the Way Down’, in Buchanan’s Tensions: Reexamining the Political Economy and Philosophy of James M. Buchanan (Mercatus Center, 2018), pp. 117–45.","previouslyFormattedCitation":"Gerald Gaus, ‘It Can’t Be Rational Choice All the Way Down’, in &lt;i&gt;Buchanan’s Tensions: Reexamining the Political Economy and Philosophy of James M. Buchanan&lt;/i&gt; (Mercatus Center, 2018), pp. 117–45."},"properties":{"noteIndex":24},"schema":"https://github.com/citation-style-language/schema/raw/master/csl-citation.json"}</w:instrText>
      </w:r>
      <w:r>
        <w:fldChar w:fldCharType="separate"/>
      </w:r>
      <w:r w:rsidRPr="009B52B0">
        <w:rPr>
          <w:noProof/>
        </w:rPr>
        <w:t xml:space="preserve">Gerald Gaus, ‘It Can’t Be Rational Choice All the Way Down’, in </w:t>
      </w:r>
      <w:r w:rsidRPr="009B52B0">
        <w:rPr>
          <w:i/>
          <w:noProof/>
        </w:rPr>
        <w:t>Buchanan’s Tensions: Reexamining the Political Economy and Philosophy of James M. Buchanan</w:t>
      </w:r>
      <w:r w:rsidRPr="009B52B0">
        <w:rPr>
          <w:noProof/>
        </w:rPr>
        <w:t xml:space="preserve"> (Mercatus Center, 2018), pp. 117–45.</w:t>
      </w:r>
      <w:r>
        <w:fldChar w:fldCharType="end"/>
      </w:r>
    </w:p>
  </w:endnote>
  <w:endnote w:id="25">
    <w:p w14:paraId="6988D0EC" w14:textId="2E747976" w:rsidR="00E10705" w:rsidRDefault="00E10705">
      <w:pPr>
        <w:pStyle w:val="EndnoteText"/>
      </w:pPr>
      <w:r>
        <w:rPr>
          <w:rStyle w:val="EndnoteReference"/>
        </w:rPr>
        <w:endnoteRef/>
      </w:r>
      <w:r>
        <w:t xml:space="preserve"> </w:t>
      </w:r>
      <w:r>
        <w:fldChar w:fldCharType="begin" w:fldLock="1"/>
      </w:r>
      <w:r>
        <w:instrText>ADDIN CSL_CITATION {"citationItems":[{"id":"ITEM-1","itemData":{"DOI":"10.1017/CBO9781316423936","ISBN":"9781316423936","author":[{"dropping-particle":"","family":"Ostrom","given":"Elinor","non-dropping-particle":"","parse-names":false,"suffix":""}],"id":"ITEM-1","issued":{"date-parts":[["2015"]]},"language":"English","publisher":"Cambridge University Press","publisher-place":"Cambridge","title":"Governing the Commons","type":"book"},"suppress-author":1,"uris":["http://www.mendeley.com/documents/?uuid=0b28c63d-2f79-4339-8fd4-33c6c4365b60"]}],"mendeley":{"formattedCitation":"&lt;i&gt;Governing the Commons&lt;/i&gt; (Cambridge: Cambridge University Press, 2015) &lt;https://doi.org/10.1017/CBO9781316423936&gt;.","plainTextFormattedCitation":"Governing the Commons (Cambridge: Cambridge University Press, 2015) .","previouslyFormattedCitation":"&lt;i&gt;Governing the Commons&lt;/i&gt; (Cambridge: Cambridge University Press, 2015) &lt;https://doi.org/10.1017/CBO9781316423936&gt;."},"properties":{"noteIndex":25},"schema":"https://github.com/citation-style-language/schema/raw/master/csl-citation.json"}</w:instrText>
      </w:r>
      <w:r>
        <w:fldChar w:fldCharType="separate"/>
      </w:r>
      <w:r w:rsidRPr="00E10705">
        <w:rPr>
          <w:i/>
          <w:noProof/>
        </w:rPr>
        <w:t>Governing the Commons</w:t>
      </w:r>
      <w:r w:rsidRPr="00E10705">
        <w:rPr>
          <w:noProof/>
        </w:rPr>
        <w:t xml:space="preserve"> (Cambridge: Cambridge University Press, 2015) &lt;https://doi.org/10.1017/CBO9781316423936&gt;.</w:t>
      </w:r>
      <w: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876556"/>
      <w:docPartObj>
        <w:docPartGallery w:val="Page Numbers (Bottom of Page)"/>
        <w:docPartUnique/>
      </w:docPartObj>
    </w:sdtPr>
    <w:sdtEndPr>
      <w:rPr>
        <w:noProof/>
      </w:rPr>
    </w:sdtEndPr>
    <w:sdtContent>
      <w:p w14:paraId="6106ED60" w14:textId="2B941B67" w:rsidR="0007432F" w:rsidRDefault="000743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A9C653" w14:textId="77777777" w:rsidR="0007432F" w:rsidRDefault="000743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1B08B" w14:textId="77777777" w:rsidR="00BC6E20" w:rsidRDefault="00BC6E20" w:rsidP="00F97549">
      <w:pPr>
        <w:spacing w:after="0" w:line="240" w:lineRule="auto"/>
      </w:pPr>
      <w:r>
        <w:separator/>
      </w:r>
    </w:p>
  </w:footnote>
  <w:footnote w:type="continuationSeparator" w:id="0">
    <w:p w14:paraId="4422E6F5" w14:textId="77777777" w:rsidR="00BC6E20" w:rsidRDefault="00BC6E20" w:rsidP="00F975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87E04"/>
    <w:multiLevelType w:val="hybridMultilevel"/>
    <w:tmpl w:val="2E6EA4D2"/>
    <w:lvl w:ilvl="0" w:tplc="E466A1A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8687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4AE"/>
    <w:rsid w:val="00040708"/>
    <w:rsid w:val="00047151"/>
    <w:rsid w:val="00063201"/>
    <w:rsid w:val="000665D7"/>
    <w:rsid w:val="0007432F"/>
    <w:rsid w:val="00085D3D"/>
    <w:rsid w:val="000C2BD4"/>
    <w:rsid w:val="000E431B"/>
    <w:rsid w:val="000F7DD7"/>
    <w:rsid w:val="00101922"/>
    <w:rsid w:val="00166121"/>
    <w:rsid w:val="0017432D"/>
    <w:rsid w:val="001B28E1"/>
    <w:rsid w:val="001E6687"/>
    <w:rsid w:val="0021154C"/>
    <w:rsid w:val="002246C5"/>
    <w:rsid w:val="002250F4"/>
    <w:rsid w:val="002A19E4"/>
    <w:rsid w:val="002F2039"/>
    <w:rsid w:val="00302904"/>
    <w:rsid w:val="00315CD7"/>
    <w:rsid w:val="0034368F"/>
    <w:rsid w:val="00351306"/>
    <w:rsid w:val="00365649"/>
    <w:rsid w:val="003A78E5"/>
    <w:rsid w:val="003B3F46"/>
    <w:rsid w:val="003C43EB"/>
    <w:rsid w:val="003D1C99"/>
    <w:rsid w:val="004217FF"/>
    <w:rsid w:val="004329A1"/>
    <w:rsid w:val="00444E65"/>
    <w:rsid w:val="0046593E"/>
    <w:rsid w:val="004718D6"/>
    <w:rsid w:val="00485DF9"/>
    <w:rsid w:val="004D706B"/>
    <w:rsid w:val="004F1FB7"/>
    <w:rsid w:val="00556CFE"/>
    <w:rsid w:val="00561E28"/>
    <w:rsid w:val="005754C5"/>
    <w:rsid w:val="00582F66"/>
    <w:rsid w:val="005B2215"/>
    <w:rsid w:val="00604755"/>
    <w:rsid w:val="00637EF5"/>
    <w:rsid w:val="006F645A"/>
    <w:rsid w:val="00705475"/>
    <w:rsid w:val="00764F7D"/>
    <w:rsid w:val="00782294"/>
    <w:rsid w:val="00790DD1"/>
    <w:rsid w:val="00794CBC"/>
    <w:rsid w:val="007C0038"/>
    <w:rsid w:val="007D5578"/>
    <w:rsid w:val="007E1C67"/>
    <w:rsid w:val="007E4957"/>
    <w:rsid w:val="008050AD"/>
    <w:rsid w:val="008441C0"/>
    <w:rsid w:val="008774AC"/>
    <w:rsid w:val="00882ED5"/>
    <w:rsid w:val="00886CA0"/>
    <w:rsid w:val="008904AE"/>
    <w:rsid w:val="008A65FB"/>
    <w:rsid w:val="008D5B15"/>
    <w:rsid w:val="008D67B9"/>
    <w:rsid w:val="008E6311"/>
    <w:rsid w:val="00905828"/>
    <w:rsid w:val="009214CC"/>
    <w:rsid w:val="00954E74"/>
    <w:rsid w:val="009A6484"/>
    <w:rsid w:val="009B52B0"/>
    <w:rsid w:val="009B74CF"/>
    <w:rsid w:val="009D5CBC"/>
    <w:rsid w:val="009F085E"/>
    <w:rsid w:val="00A34485"/>
    <w:rsid w:val="00A3636C"/>
    <w:rsid w:val="00A41264"/>
    <w:rsid w:val="00A6761B"/>
    <w:rsid w:val="00A74C91"/>
    <w:rsid w:val="00A76D34"/>
    <w:rsid w:val="00A84953"/>
    <w:rsid w:val="00AA6626"/>
    <w:rsid w:val="00AB0E98"/>
    <w:rsid w:val="00AB41C9"/>
    <w:rsid w:val="00B00E6C"/>
    <w:rsid w:val="00B01444"/>
    <w:rsid w:val="00B1072B"/>
    <w:rsid w:val="00B20A13"/>
    <w:rsid w:val="00B555C7"/>
    <w:rsid w:val="00B92311"/>
    <w:rsid w:val="00BB6DF9"/>
    <w:rsid w:val="00BC6E20"/>
    <w:rsid w:val="00BC710B"/>
    <w:rsid w:val="00C41CED"/>
    <w:rsid w:val="00C4779C"/>
    <w:rsid w:val="00C639F9"/>
    <w:rsid w:val="00C76D69"/>
    <w:rsid w:val="00D3072E"/>
    <w:rsid w:val="00D61A7A"/>
    <w:rsid w:val="00D672C6"/>
    <w:rsid w:val="00D77EA4"/>
    <w:rsid w:val="00D87B8B"/>
    <w:rsid w:val="00DB61C6"/>
    <w:rsid w:val="00E0454A"/>
    <w:rsid w:val="00E06A6A"/>
    <w:rsid w:val="00E10705"/>
    <w:rsid w:val="00E42A4D"/>
    <w:rsid w:val="00E50BA3"/>
    <w:rsid w:val="00E636D5"/>
    <w:rsid w:val="00E903FF"/>
    <w:rsid w:val="00E912F1"/>
    <w:rsid w:val="00F43D22"/>
    <w:rsid w:val="00F473C1"/>
    <w:rsid w:val="00F633FB"/>
    <w:rsid w:val="00F97549"/>
    <w:rsid w:val="00FE72FF"/>
    <w:rsid w:val="00FF0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8BF23"/>
  <w15:chartTrackingRefBased/>
  <w15:docId w15:val="{E64FA423-E547-454C-8679-43C97276E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4AE"/>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31B"/>
    <w:pPr>
      <w:ind w:left="720"/>
      <w:contextualSpacing/>
    </w:pPr>
  </w:style>
  <w:style w:type="paragraph" w:styleId="FootnoteText">
    <w:name w:val="footnote text"/>
    <w:basedOn w:val="Normal"/>
    <w:link w:val="FootnoteTextChar"/>
    <w:uiPriority w:val="99"/>
    <w:semiHidden/>
    <w:unhideWhenUsed/>
    <w:rsid w:val="00F975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7549"/>
    <w:rPr>
      <w:sz w:val="20"/>
      <w:szCs w:val="20"/>
    </w:rPr>
  </w:style>
  <w:style w:type="character" w:styleId="FootnoteReference">
    <w:name w:val="footnote reference"/>
    <w:basedOn w:val="DefaultParagraphFont"/>
    <w:uiPriority w:val="99"/>
    <w:semiHidden/>
    <w:unhideWhenUsed/>
    <w:rsid w:val="00F97549"/>
    <w:rPr>
      <w:vertAlign w:val="superscript"/>
    </w:rPr>
  </w:style>
  <w:style w:type="paragraph" w:styleId="NormalWeb">
    <w:name w:val="Normal (Web)"/>
    <w:basedOn w:val="Normal"/>
    <w:uiPriority w:val="99"/>
    <w:semiHidden/>
    <w:unhideWhenUsed/>
    <w:rsid w:val="00E912F1"/>
    <w:rPr>
      <w:rFonts w:cs="Times New Roman"/>
      <w:szCs w:val="24"/>
    </w:rPr>
  </w:style>
  <w:style w:type="paragraph" w:styleId="Header">
    <w:name w:val="header"/>
    <w:basedOn w:val="Normal"/>
    <w:link w:val="HeaderChar"/>
    <w:uiPriority w:val="99"/>
    <w:unhideWhenUsed/>
    <w:rsid w:val="000743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32F"/>
  </w:style>
  <w:style w:type="paragraph" w:styleId="Footer">
    <w:name w:val="footer"/>
    <w:basedOn w:val="Normal"/>
    <w:link w:val="FooterChar"/>
    <w:uiPriority w:val="99"/>
    <w:unhideWhenUsed/>
    <w:rsid w:val="000743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32F"/>
  </w:style>
  <w:style w:type="paragraph" w:styleId="EndnoteText">
    <w:name w:val="endnote text"/>
    <w:basedOn w:val="Normal"/>
    <w:link w:val="EndnoteTextChar"/>
    <w:uiPriority w:val="99"/>
    <w:semiHidden/>
    <w:unhideWhenUsed/>
    <w:rsid w:val="00E1070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10705"/>
    <w:rPr>
      <w:sz w:val="20"/>
      <w:szCs w:val="20"/>
    </w:rPr>
  </w:style>
  <w:style w:type="character" w:styleId="EndnoteReference">
    <w:name w:val="endnote reference"/>
    <w:basedOn w:val="DefaultParagraphFont"/>
    <w:uiPriority w:val="99"/>
    <w:semiHidden/>
    <w:unhideWhenUsed/>
    <w:rsid w:val="00E107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07EAA-612C-446B-B05D-566991D0A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21</Pages>
  <Words>4797</Words>
  <Characters>25953</Characters>
  <Application>Microsoft Office Word</Application>
  <DocSecurity>0</DocSecurity>
  <Lines>393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Wade Craig</dc:creator>
  <cp:keywords/>
  <dc:description/>
  <cp:lastModifiedBy>Alexander Craig</cp:lastModifiedBy>
  <cp:revision>10</cp:revision>
  <dcterms:created xsi:type="dcterms:W3CDTF">2026-02-19T20:07:00Z</dcterms:created>
  <dcterms:modified xsi:type="dcterms:W3CDTF">2026-03-14T21:03:00Z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http://www.zotero.org/styles/chicago-note-bibliography</vt:lpwstr>
  </property>
  <property fmtid="{D5CDD505-2E9C-101B-9397-08002B2CF9AE}" pid="13" name="Mendeley Recent Style Name 5_1">
    <vt:lpwstr>Chicago Manual of Style 17th edition (note)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http://www.zotero.org/styles/sage-harvard</vt:lpwstr>
  </property>
  <property fmtid="{D5CDD505-2E9C-101B-9397-08002B2CF9AE}" pid="21" name="Mendeley Recent Style Name 9_1">
    <vt:lpwstr>SAGE - Harvard</vt:lpwstr>
  </property>
  <property fmtid="{D5CDD505-2E9C-101B-9397-08002B2CF9AE}" pid="22" name="Mendeley Document_1">
    <vt:lpwstr>True</vt:lpwstr>
  </property>
  <property fmtid="{D5CDD505-2E9C-101B-9397-08002B2CF9AE}" pid="23" name="Mendeley Unique User Id_1">
    <vt:lpwstr>ae7d9305-9d34-3fc3-8edb-b20b48b827d8</vt:lpwstr>
  </property>
  <property fmtid="{D5CDD505-2E9C-101B-9397-08002B2CF9AE}" pid="24" name="Mendeley Citation Style_1">
    <vt:lpwstr>http://www.zotero.org/styles/modern-humanities-research-association</vt:lpwstr>
  </property>
</Properties>
</file>