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1745" w:rsidRPr="00051A63" w:rsidRDefault="00442675" w:rsidP="00CA0CBA">
      <w:pPr>
        <w:jc w:val="center"/>
        <w:rPr>
          <w:rFonts w:ascii="Aptos" w:hAnsi="Aptos" w:cs="Times New Roman (Body CS)"/>
          <w:b/>
          <w:bCs/>
          <w:smallCaps/>
          <w:sz w:val="40"/>
          <w:szCs w:val="32"/>
        </w:rPr>
      </w:pPr>
      <w:r>
        <w:rPr>
          <w:rFonts w:ascii="Aptos" w:hAnsi="Aptos" w:cs="Times New Roman (Body CS)"/>
          <w:b/>
          <w:bCs/>
          <w:smallCaps/>
          <w:sz w:val="40"/>
          <w:szCs w:val="32"/>
        </w:rPr>
        <w:t>Murray Rothbard, Against the State</w:t>
      </w:r>
    </w:p>
    <w:p w:rsidR="00051A63" w:rsidRPr="00051A63" w:rsidRDefault="00051A63" w:rsidP="00CA0CBA">
      <w:pPr>
        <w:jc w:val="center"/>
        <w:rPr>
          <w:rFonts w:ascii="Aptos" w:hAnsi="Aptos" w:cs="Times New Roman (Body CS)"/>
          <w:b/>
          <w:bCs/>
          <w:smallCaps/>
          <w:sz w:val="28"/>
          <w:szCs w:val="28"/>
        </w:rPr>
      </w:pPr>
    </w:p>
    <w:p w:rsidR="00051A63" w:rsidRPr="00051A63" w:rsidRDefault="00051A63" w:rsidP="00CA0CBA">
      <w:pPr>
        <w:jc w:val="center"/>
        <w:rPr>
          <w:rFonts w:ascii="Aptos" w:hAnsi="Aptos"/>
          <w:i/>
          <w:iCs/>
        </w:rPr>
      </w:pPr>
      <w:r w:rsidRPr="00051A63">
        <w:rPr>
          <w:rFonts w:ascii="Aptos" w:hAnsi="Aptos"/>
          <w:i/>
          <w:iCs/>
        </w:rPr>
        <w:t>Billy Christmas</w:t>
      </w:r>
    </w:p>
    <w:p w:rsidR="00051A63" w:rsidRPr="00051A63" w:rsidRDefault="00051A63" w:rsidP="00CA0CBA">
      <w:pPr>
        <w:jc w:val="center"/>
        <w:rPr>
          <w:rFonts w:ascii="Aptos" w:hAnsi="Aptos"/>
          <w:i/>
          <w:iCs/>
        </w:rPr>
      </w:pPr>
    </w:p>
    <w:p w:rsidR="00051A63" w:rsidRPr="00051A63" w:rsidRDefault="00051A63" w:rsidP="00CA0CBA">
      <w:pPr>
        <w:jc w:val="center"/>
        <w:rPr>
          <w:rFonts w:ascii="Aptos" w:hAnsi="Aptos"/>
        </w:rPr>
      </w:pPr>
      <w:r w:rsidRPr="00051A63">
        <w:rPr>
          <w:rFonts w:ascii="Aptos" w:hAnsi="Aptos"/>
        </w:rPr>
        <w:t>West Virginia University</w:t>
      </w:r>
    </w:p>
    <w:p w:rsidR="00051A63" w:rsidRDefault="00051A63" w:rsidP="00CA0CBA">
      <w:pPr>
        <w:jc w:val="both"/>
        <w:rPr>
          <w:rFonts w:ascii="Aptos" w:hAnsi="Aptos"/>
        </w:rPr>
      </w:pPr>
    </w:p>
    <w:p w:rsidR="00A81DB7" w:rsidRDefault="00A81DB7" w:rsidP="00CA0CBA">
      <w:pPr>
        <w:jc w:val="both"/>
        <w:rPr>
          <w:rFonts w:ascii="Aptos" w:hAnsi="Aptos"/>
        </w:rPr>
      </w:pPr>
    </w:p>
    <w:p w:rsidR="00A4018F" w:rsidRPr="00A4018F" w:rsidRDefault="00A4018F" w:rsidP="00CA0CBA">
      <w:pPr>
        <w:jc w:val="both"/>
        <w:rPr>
          <w:rFonts w:ascii="Aptos" w:hAnsi="Aptos"/>
          <w:b/>
          <w:bCs/>
        </w:rPr>
      </w:pPr>
      <w:r>
        <w:rPr>
          <w:rFonts w:ascii="Aptos" w:hAnsi="Aptos"/>
          <w:b/>
          <w:bCs/>
        </w:rPr>
        <w:t>Introduction</w:t>
      </w:r>
    </w:p>
    <w:p w:rsidR="00C550FA" w:rsidRDefault="00A81DB7" w:rsidP="00CA0CBA">
      <w:pPr>
        <w:jc w:val="both"/>
        <w:rPr>
          <w:rFonts w:ascii="Aptos" w:hAnsi="Aptos"/>
        </w:rPr>
      </w:pPr>
      <w:r>
        <w:rPr>
          <w:rFonts w:ascii="Aptos" w:hAnsi="Aptos"/>
        </w:rPr>
        <w:t>Murray Rothbard</w:t>
      </w:r>
      <w:r w:rsidR="00C550FA">
        <w:rPr>
          <w:rFonts w:ascii="Aptos" w:hAnsi="Aptos"/>
        </w:rPr>
        <w:t xml:space="preserve"> was an economist by training but a prolific writer in history</w:t>
      </w:r>
      <w:r w:rsidR="00B24977">
        <w:rPr>
          <w:rFonts w:ascii="Aptos" w:hAnsi="Aptos"/>
        </w:rPr>
        <w:t>,</w:t>
      </w:r>
      <w:r w:rsidR="00C550FA">
        <w:rPr>
          <w:rFonts w:ascii="Aptos" w:hAnsi="Aptos"/>
        </w:rPr>
        <w:t xml:space="preserve"> politic</w:t>
      </w:r>
      <w:r w:rsidR="00B24977">
        <w:rPr>
          <w:rFonts w:ascii="Aptos" w:hAnsi="Aptos"/>
        </w:rPr>
        <w:t>s, and political</w:t>
      </w:r>
      <w:r w:rsidR="00C550FA">
        <w:rPr>
          <w:rFonts w:ascii="Aptos" w:hAnsi="Aptos"/>
        </w:rPr>
        <w:t xml:space="preserve"> philosophy. Though much of this writing was polemical side, he made significant </w:t>
      </w:r>
      <w:r w:rsidR="00DA240B">
        <w:rPr>
          <w:rFonts w:ascii="Aptos" w:hAnsi="Aptos"/>
        </w:rPr>
        <w:t xml:space="preserve">contributions to </w:t>
      </w:r>
      <w:r w:rsidR="00C550FA">
        <w:rPr>
          <w:rFonts w:ascii="Aptos" w:hAnsi="Aptos"/>
        </w:rPr>
        <w:t>political philosophy</w:t>
      </w:r>
      <w:r>
        <w:rPr>
          <w:rFonts w:ascii="Aptos" w:hAnsi="Aptos"/>
        </w:rPr>
        <w:t xml:space="preserve"> </w:t>
      </w:r>
      <w:r w:rsidR="00DA240B">
        <w:rPr>
          <w:rFonts w:ascii="Aptos" w:hAnsi="Aptos"/>
        </w:rPr>
        <w:t>that</w:t>
      </w:r>
      <w:r>
        <w:rPr>
          <w:rFonts w:ascii="Aptos" w:hAnsi="Aptos"/>
        </w:rPr>
        <w:t xml:space="preserve"> have had a significant influence on the American libertarian movement.</w:t>
      </w:r>
    </w:p>
    <w:p w:rsidR="00C550FA" w:rsidRDefault="00A81DB7" w:rsidP="006566F2">
      <w:pPr>
        <w:ind w:firstLine="720"/>
        <w:jc w:val="both"/>
        <w:rPr>
          <w:rFonts w:ascii="Aptos" w:hAnsi="Aptos"/>
        </w:rPr>
      </w:pPr>
      <w:r>
        <w:rPr>
          <w:rFonts w:ascii="Aptos" w:hAnsi="Aptos"/>
        </w:rPr>
        <w:t xml:space="preserve">He synthesized elements of </w:t>
      </w:r>
      <w:r w:rsidR="00DA240B">
        <w:rPr>
          <w:rFonts w:ascii="Aptos" w:hAnsi="Aptos"/>
        </w:rPr>
        <w:t>17</w:t>
      </w:r>
      <w:r w:rsidR="00DA240B" w:rsidRPr="00DA240B">
        <w:rPr>
          <w:rFonts w:ascii="Aptos" w:hAnsi="Aptos"/>
          <w:vertAlign w:val="superscript"/>
        </w:rPr>
        <w:t>th</w:t>
      </w:r>
      <w:r w:rsidR="00DA240B">
        <w:rPr>
          <w:rFonts w:ascii="Aptos" w:hAnsi="Aptos"/>
        </w:rPr>
        <w:t xml:space="preserve"> and 18</w:t>
      </w:r>
      <w:r w:rsidR="00DA240B" w:rsidRPr="00DA240B">
        <w:rPr>
          <w:rFonts w:ascii="Aptos" w:hAnsi="Aptos"/>
          <w:vertAlign w:val="superscript"/>
        </w:rPr>
        <w:t>th</w:t>
      </w:r>
      <w:r w:rsidR="00DA240B">
        <w:rPr>
          <w:rFonts w:ascii="Aptos" w:hAnsi="Aptos"/>
        </w:rPr>
        <w:t xml:space="preserve"> century natural law theory (specifically the Kantian and Lockean treatment of natural rights) in a way that yields conclusions amenable to the American individualist anarchists and anti-monopoly </w:t>
      </w:r>
      <w:proofErr w:type="spellStart"/>
      <w:r w:rsidR="00DA240B">
        <w:rPr>
          <w:rFonts w:ascii="Aptos" w:hAnsi="Aptos"/>
        </w:rPr>
        <w:t>labour</w:t>
      </w:r>
      <w:proofErr w:type="spellEnd"/>
      <w:r w:rsidR="00DA240B">
        <w:rPr>
          <w:rFonts w:ascii="Aptos" w:hAnsi="Aptos"/>
        </w:rPr>
        <w:t xml:space="preserve"> radicals of the 19</w:t>
      </w:r>
      <w:r w:rsidR="00DA240B" w:rsidRPr="00DA240B">
        <w:rPr>
          <w:rFonts w:ascii="Aptos" w:hAnsi="Aptos"/>
          <w:vertAlign w:val="superscript"/>
        </w:rPr>
        <w:t>th</w:t>
      </w:r>
      <w:r w:rsidR="00DA240B">
        <w:rPr>
          <w:rFonts w:ascii="Aptos" w:hAnsi="Aptos"/>
        </w:rPr>
        <w:t>-century (specifically Benjamin Tucker and Lysander Spooner</w:t>
      </w:r>
      <w:r w:rsidR="00C550FA">
        <w:rPr>
          <w:rFonts w:ascii="Aptos" w:hAnsi="Aptos"/>
        </w:rPr>
        <w:t>, et al)</w:t>
      </w:r>
      <w:r w:rsidR="00DA240B">
        <w:rPr>
          <w:rFonts w:ascii="Aptos" w:hAnsi="Aptos"/>
        </w:rPr>
        <w:t xml:space="preserve">. </w:t>
      </w:r>
      <w:r w:rsidR="00C550FA">
        <w:rPr>
          <w:rFonts w:ascii="Aptos" w:hAnsi="Aptos"/>
        </w:rPr>
        <w:t xml:space="preserve">He argued from the premise of our natural rights that </w:t>
      </w:r>
      <w:r w:rsidR="00C550FA" w:rsidRPr="00C550FA">
        <w:rPr>
          <w:rFonts w:ascii="Aptos" w:hAnsi="Aptos"/>
          <w:i/>
          <w:iCs/>
        </w:rPr>
        <w:t>no state could ever be legitimate</w:t>
      </w:r>
      <w:r w:rsidR="00C550FA">
        <w:rPr>
          <w:rFonts w:ascii="Aptos" w:hAnsi="Aptos"/>
          <w:i/>
          <w:iCs/>
        </w:rPr>
        <w:t>.</w:t>
      </w:r>
      <w:r w:rsidR="00C550FA">
        <w:rPr>
          <w:rFonts w:ascii="Aptos" w:hAnsi="Aptos"/>
        </w:rPr>
        <w:t xml:space="preserve"> Defining features of the state place it at odds with our natural liberty within rights.</w:t>
      </w:r>
      <w:r w:rsidR="0074457C">
        <w:rPr>
          <w:rFonts w:ascii="Aptos" w:hAnsi="Aptos"/>
        </w:rPr>
        <w:t xml:space="preserve"> </w:t>
      </w:r>
      <w:r w:rsidR="00B50E08">
        <w:rPr>
          <w:rStyle w:val="FootnoteReference"/>
          <w:rFonts w:ascii="Aptos" w:hAnsi="Aptos"/>
        </w:rPr>
        <w:footnoteReference w:id="1"/>
      </w:r>
      <w:r w:rsidR="00C550FA">
        <w:rPr>
          <w:rFonts w:ascii="Aptos" w:hAnsi="Aptos"/>
        </w:rPr>
        <w:t xml:space="preserve"> Whilst a defender of the ethical core of political liberalism, he argued for politically radical conclusions.</w:t>
      </w:r>
    </w:p>
    <w:p w:rsidR="00C550FA" w:rsidRPr="00C550FA" w:rsidRDefault="00C550FA" w:rsidP="00CA0CBA">
      <w:pPr>
        <w:ind w:firstLine="720"/>
        <w:jc w:val="both"/>
        <w:rPr>
          <w:rFonts w:ascii="Aptos" w:hAnsi="Aptos"/>
        </w:rPr>
      </w:pPr>
      <w:r>
        <w:rPr>
          <w:rFonts w:ascii="Aptos" w:hAnsi="Aptos"/>
        </w:rPr>
        <w:t xml:space="preserve">In his economic work, he drew attention to the state’s function in being a vehicle through which incumbent market actors cold secure </w:t>
      </w:r>
      <w:r>
        <w:rPr>
          <w:rFonts w:ascii="Aptos" w:hAnsi="Aptos"/>
          <w:i/>
          <w:iCs/>
        </w:rPr>
        <w:t>rents</w:t>
      </w:r>
      <w:r>
        <w:rPr>
          <w:rFonts w:ascii="Aptos" w:hAnsi="Aptos"/>
        </w:rPr>
        <w:t xml:space="preserve"> at the expense of insurgent capitalists, workers, consumers, and tax-payers. It was not only that the state lacked normative standing to legitimately hold a monopoly on coercion, but that it also functioned to secure other forms of monopoly that had negative economic consequences.</w:t>
      </w:r>
      <w:r w:rsidR="0074457C">
        <w:rPr>
          <w:rFonts w:ascii="Aptos" w:hAnsi="Aptos"/>
        </w:rPr>
        <w:t xml:space="preserve"> </w:t>
      </w:r>
      <w:r w:rsidR="00B50E08">
        <w:rPr>
          <w:rStyle w:val="FootnoteReference"/>
          <w:rFonts w:ascii="Aptos" w:hAnsi="Aptos"/>
        </w:rPr>
        <w:footnoteReference w:id="2"/>
      </w:r>
      <w:r w:rsidR="0080620D">
        <w:rPr>
          <w:rFonts w:ascii="Aptos" w:hAnsi="Aptos"/>
        </w:rPr>
        <w:t xml:space="preserve"> </w:t>
      </w:r>
      <w:r>
        <w:rPr>
          <w:rFonts w:ascii="Aptos" w:hAnsi="Aptos"/>
        </w:rPr>
        <w:t xml:space="preserve">In this manner he draws the gaze of the contemporary, </w:t>
      </w:r>
      <w:r w:rsidRPr="00C550FA">
        <w:rPr>
          <w:rFonts w:ascii="Aptos" w:hAnsi="Aptos"/>
          <w:i/>
          <w:iCs/>
        </w:rPr>
        <w:t>anti-market</w:t>
      </w:r>
      <w:r>
        <w:rPr>
          <w:rFonts w:ascii="Aptos" w:hAnsi="Aptos"/>
        </w:rPr>
        <w:t xml:space="preserve"> left toward the economic and moral arguments of the older </w:t>
      </w:r>
      <w:r w:rsidRPr="00C550FA">
        <w:rPr>
          <w:rFonts w:ascii="Aptos" w:hAnsi="Aptos"/>
          <w:i/>
          <w:iCs/>
        </w:rPr>
        <w:t>anti-monopoly</w:t>
      </w:r>
      <w:r>
        <w:rPr>
          <w:rFonts w:ascii="Aptos" w:hAnsi="Aptos"/>
        </w:rPr>
        <w:t xml:space="preserve"> left</w:t>
      </w:r>
      <w:r w:rsidR="0080620D">
        <w:rPr>
          <w:rFonts w:ascii="Aptos" w:hAnsi="Aptos"/>
        </w:rPr>
        <w:t xml:space="preserve"> </w:t>
      </w:r>
      <w:r w:rsidR="00B50E08">
        <w:rPr>
          <w:rStyle w:val="FootnoteReference"/>
          <w:rFonts w:ascii="Aptos" w:hAnsi="Aptos"/>
        </w:rPr>
        <w:footnoteReference w:id="3"/>
      </w:r>
      <w:r>
        <w:rPr>
          <w:rFonts w:ascii="Aptos" w:hAnsi="Aptos"/>
        </w:rPr>
        <w:t>.</w:t>
      </w:r>
    </w:p>
    <w:p w:rsidR="00E1098D" w:rsidRDefault="006C21E7" w:rsidP="00CA0CBA">
      <w:pPr>
        <w:ind w:firstLine="720"/>
        <w:jc w:val="both"/>
        <w:rPr>
          <w:rFonts w:ascii="Aptos" w:hAnsi="Aptos"/>
        </w:rPr>
      </w:pPr>
      <w:r>
        <w:rPr>
          <w:rFonts w:ascii="Aptos" w:hAnsi="Aptos"/>
        </w:rPr>
        <w:t xml:space="preserve">Rothbard’s can therefore </w:t>
      </w:r>
      <w:r w:rsidR="00DA240B">
        <w:rPr>
          <w:rFonts w:ascii="Aptos" w:hAnsi="Aptos"/>
        </w:rPr>
        <w:t xml:space="preserve">be seen to provide strong discursive support for the </w:t>
      </w:r>
      <w:r w:rsidR="00DA240B" w:rsidRPr="00DA240B">
        <w:rPr>
          <w:rFonts w:ascii="Aptos" w:hAnsi="Aptos"/>
          <w:i/>
          <w:iCs/>
        </w:rPr>
        <w:t>radical libertarian tradition</w:t>
      </w:r>
      <w:r w:rsidR="00DA240B">
        <w:rPr>
          <w:rFonts w:ascii="Aptos" w:hAnsi="Aptos"/>
        </w:rPr>
        <w:t xml:space="preserve"> that claims the mantel of continuity between pro-market liberalism and anti-monopoly radicalism</w:t>
      </w:r>
      <w:r>
        <w:rPr>
          <w:rFonts w:ascii="Aptos" w:hAnsi="Aptos"/>
        </w:rPr>
        <w:t xml:space="preserve">: often self-identifying as </w:t>
      </w:r>
      <w:r>
        <w:rPr>
          <w:rFonts w:ascii="Aptos" w:hAnsi="Aptos"/>
          <w:i/>
          <w:iCs/>
        </w:rPr>
        <w:t>left market anarchism</w:t>
      </w:r>
      <w:r>
        <w:rPr>
          <w:rFonts w:ascii="Aptos" w:hAnsi="Aptos"/>
        </w:rPr>
        <w:t>. However, he swung between radical, left-wing alliances to reactionary, right-wing alliances.</w:t>
      </w:r>
      <w:r w:rsidR="00E1098D">
        <w:rPr>
          <w:rFonts w:ascii="Aptos" w:hAnsi="Aptos"/>
        </w:rPr>
        <w:t xml:space="preserve"> </w:t>
      </w:r>
      <w:r>
        <w:rPr>
          <w:rFonts w:ascii="Aptos" w:hAnsi="Aptos"/>
        </w:rPr>
        <w:t>In the 1960s he wrote in support of militant black liberation in the US</w:t>
      </w:r>
      <w:r w:rsidR="0076720D">
        <w:rPr>
          <w:rFonts w:ascii="Aptos" w:hAnsi="Aptos"/>
        </w:rPr>
        <w:t xml:space="preserve"> </w:t>
      </w:r>
      <w:r w:rsidR="00B50E08">
        <w:rPr>
          <w:rStyle w:val="FootnoteReference"/>
          <w:rFonts w:ascii="Aptos" w:hAnsi="Aptos"/>
        </w:rPr>
        <w:footnoteReference w:id="4"/>
      </w:r>
      <w:r>
        <w:rPr>
          <w:rFonts w:ascii="Aptos" w:hAnsi="Aptos"/>
        </w:rPr>
        <w:t xml:space="preserve">, </w:t>
      </w:r>
      <w:r w:rsidR="0076720D">
        <w:rPr>
          <w:rFonts w:ascii="Aptos" w:hAnsi="Aptos"/>
        </w:rPr>
        <w:t xml:space="preserve">that the New Left was a more </w:t>
      </w:r>
      <w:r w:rsidR="0076720D">
        <w:rPr>
          <w:rFonts w:ascii="Aptos" w:hAnsi="Aptos"/>
        </w:rPr>
        <w:lastRenderedPageBreak/>
        <w:t xml:space="preserve">natural ally to the cause of liberty </w:t>
      </w:r>
      <w:r w:rsidR="00E1098D">
        <w:rPr>
          <w:rFonts w:ascii="Aptos" w:hAnsi="Aptos"/>
        </w:rPr>
        <w:t>of the Old Right</w:t>
      </w:r>
      <w:r w:rsidR="00E1098D">
        <w:rPr>
          <w:rStyle w:val="FootnoteReference"/>
          <w:rFonts w:ascii="Aptos" w:hAnsi="Aptos"/>
        </w:rPr>
        <w:footnoteReference w:id="5"/>
      </w:r>
      <w:r w:rsidR="00E1098D">
        <w:rPr>
          <w:rFonts w:ascii="Aptos" w:hAnsi="Aptos"/>
        </w:rPr>
        <w:t xml:space="preserve"> </w:t>
      </w:r>
      <w:r w:rsidR="0076720D">
        <w:rPr>
          <w:rFonts w:ascii="Aptos" w:hAnsi="Aptos"/>
        </w:rPr>
        <w:t xml:space="preserve">than the </w:t>
      </w:r>
      <w:r w:rsidR="00E1098D">
        <w:rPr>
          <w:rFonts w:ascii="Aptos" w:hAnsi="Aptos"/>
        </w:rPr>
        <w:t>New Right</w:t>
      </w:r>
      <w:r w:rsidR="0076720D">
        <w:rPr>
          <w:rFonts w:ascii="Aptos" w:hAnsi="Aptos"/>
        </w:rPr>
        <w:t xml:space="preserve"> </w:t>
      </w:r>
      <w:r w:rsidR="00B50E08">
        <w:rPr>
          <w:rStyle w:val="FootnoteReference"/>
          <w:rFonts w:ascii="Aptos" w:hAnsi="Aptos"/>
        </w:rPr>
        <w:footnoteReference w:id="6"/>
      </w:r>
      <w:r w:rsidR="007E7C85">
        <w:rPr>
          <w:rFonts w:ascii="Aptos" w:hAnsi="Aptos"/>
        </w:rPr>
        <w:t>, and</w:t>
      </w:r>
      <w:r w:rsidR="00BF505C">
        <w:rPr>
          <w:rFonts w:ascii="Aptos" w:hAnsi="Aptos"/>
        </w:rPr>
        <w:t xml:space="preserve"> </w:t>
      </w:r>
      <w:r>
        <w:rPr>
          <w:rFonts w:ascii="Aptos" w:hAnsi="Aptos"/>
        </w:rPr>
        <w:t xml:space="preserve">the justification of worker expropriation of industries </w:t>
      </w:r>
      <w:r w:rsidR="007E7C85">
        <w:rPr>
          <w:rFonts w:ascii="Aptos" w:hAnsi="Aptos"/>
        </w:rPr>
        <w:t>who had grown large due to,</w:t>
      </w:r>
      <w:r>
        <w:rPr>
          <w:rFonts w:ascii="Aptos" w:hAnsi="Aptos"/>
        </w:rPr>
        <w:t xml:space="preserve"> even indirect</w:t>
      </w:r>
      <w:r w:rsidR="007E7C85">
        <w:rPr>
          <w:rFonts w:ascii="Aptos" w:hAnsi="Aptos"/>
        </w:rPr>
        <w:t>,</w:t>
      </w:r>
      <w:r>
        <w:rPr>
          <w:rFonts w:ascii="Aptos" w:hAnsi="Aptos"/>
        </w:rPr>
        <w:t xml:space="preserve"> government-granted privileg</w:t>
      </w:r>
      <w:r w:rsidR="0076720D">
        <w:rPr>
          <w:rFonts w:ascii="Aptos" w:hAnsi="Aptos"/>
        </w:rPr>
        <w:t xml:space="preserve">e </w:t>
      </w:r>
      <w:r w:rsidR="00B50E08">
        <w:rPr>
          <w:rStyle w:val="FootnoteReference"/>
          <w:rFonts w:ascii="Aptos" w:hAnsi="Aptos"/>
        </w:rPr>
        <w:footnoteReference w:id="7"/>
      </w:r>
      <w:r w:rsidR="007E7C85">
        <w:rPr>
          <w:rFonts w:ascii="Aptos" w:hAnsi="Aptos"/>
        </w:rPr>
        <w:t>.</w:t>
      </w:r>
      <w:r w:rsidR="00D37FF5">
        <w:rPr>
          <w:rFonts w:ascii="Aptos" w:hAnsi="Aptos"/>
        </w:rPr>
        <w:t xml:space="preserve"> He largely agreed with the Marxist historian Gabriel Kolko </w:t>
      </w:r>
      <w:r w:rsidR="00B50E08">
        <w:rPr>
          <w:rStyle w:val="FootnoteReference"/>
          <w:rFonts w:ascii="Aptos" w:hAnsi="Aptos"/>
        </w:rPr>
        <w:footnoteReference w:id="8"/>
      </w:r>
      <w:r w:rsidR="00D37FF5">
        <w:rPr>
          <w:rFonts w:ascii="Aptos" w:hAnsi="Aptos"/>
        </w:rPr>
        <w:t xml:space="preserve"> that the federal regulatory and administrative apparatus of the United States functioned to serve the corporate class </w:t>
      </w:r>
      <w:r w:rsidR="00B50E08">
        <w:rPr>
          <w:rStyle w:val="FootnoteReference"/>
          <w:rFonts w:ascii="Aptos" w:hAnsi="Aptos"/>
        </w:rPr>
        <w:footnoteReference w:id="9"/>
      </w:r>
      <w:r w:rsidR="00D37FF5">
        <w:rPr>
          <w:rFonts w:ascii="Aptos" w:hAnsi="Aptos"/>
        </w:rPr>
        <w:t xml:space="preserve">. </w:t>
      </w:r>
    </w:p>
    <w:p w:rsidR="007E7C85" w:rsidRDefault="003D6138" w:rsidP="00CA0CBA">
      <w:pPr>
        <w:ind w:firstLine="720"/>
        <w:jc w:val="both"/>
        <w:rPr>
          <w:rFonts w:ascii="Aptos" w:hAnsi="Aptos"/>
        </w:rPr>
      </w:pPr>
      <w:r>
        <w:rPr>
          <w:rFonts w:ascii="Aptos" w:hAnsi="Aptos"/>
        </w:rPr>
        <w:t xml:space="preserve">In 1974 Rothbard wrote an essay trenchantly </w:t>
      </w:r>
      <w:proofErr w:type="spellStart"/>
      <w:r>
        <w:rPr>
          <w:rFonts w:ascii="Aptos" w:hAnsi="Aptos"/>
        </w:rPr>
        <w:t>criticising</w:t>
      </w:r>
      <w:proofErr w:type="spellEnd"/>
      <w:r>
        <w:rPr>
          <w:rFonts w:ascii="Aptos" w:hAnsi="Aptos"/>
        </w:rPr>
        <w:t xml:space="preserve"> left-wing policies that pursued any </w:t>
      </w:r>
      <w:proofErr w:type="gramStart"/>
      <w:r>
        <w:rPr>
          <w:rFonts w:ascii="Aptos" w:hAnsi="Aptos"/>
        </w:rPr>
        <w:t>variety  of</w:t>
      </w:r>
      <w:proofErr w:type="gramEnd"/>
      <w:r>
        <w:rPr>
          <w:rFonts w:ascii="Aptos" w:hAnsi="Aptos"/>
        </w:rPr>
        <w:t xml:space="preserve"> equality outcomes, arguing for a kind of natural inequality </w:t>
      </w:r>
      <w:r w:rsidR="00B50E08">
        <w:rPr>
          <w:rStyle w:val="FootnoteReference"/>
          <w:rFonts w:ascii="Aptos" w:hAnsi="Aptos"/>
        </w:rPr>
        <w:footnoteReference w:id="10"/>
      </w:r>
      <w:r>
        <w:rPr>
          <w:rFonts w:ascii="Aptos" w:hAnsi="Aptos"/>
        </w:rPr>
        <w:t>, and by</w:t>
      </w:r>
      <w:r w:rsidR="007E7C85">
        <w:rPr>
          <w:rFonts w:ascii="Aptos" w:hAnsi="Aptos"/>
        </w:rPr>
        <w:t xml:space="preserve"> 1992 explicitly advocating “paleo-libertarianism;” the use of right-wing populism as a vehicle for the libertarian agenda </w:t>
      </w:r>
      <w:r w:rsidR="00B50E08">
        <w:rPr>
          <w:rStyle w:val="FootnoteReference"/>
          <w:rFonts w:ascii="Aptos" w:hAnsi="Aptos"/>
        </w:rPr>
        <w:footnoteReference w:id="11"/>
      </w:r>
    </w:p>
    <w:p w:rsidR="007E7C85" w:rsidRDefault="006C21E7" w:rsidP="00CA0CBA">
      <w:pPr>
        <w:ind w:firstLine="720"/>
        <w:jc w:val="both"/>
        <w:rPr>
          <w:rFonts w:ascii="Aptos" w:hAnsi="Aptos"/>
        </w:rPr>
      </w:pPr>
      <w:r>
        <w:rPr>
          <w:rFonts w:ascii="Aptos" w:hAnsi="Aptos"/>
        </w:rPr>
        <w:t xml:space="preserve">The common thread is radical </w:t>
      </w:r>
      <w:proofErr w:type="spellStart"/>
      <w:r>
        <w:rPr>
          <w:rFonts w:ascii="Aptos" w:hAnsi="Aptos"/>
        </w:rPr>
        <w:t>libertartianism</w:t>
      </w:r>
      <w:proofErr w:type="spellEnd"/>
      <w:r>
        <w:rPr>
          <w:rFonts w:ascii="Aptos" w:hAnsi="Aptos"/>
        </w:rPr>
        <w:t xml:space="preserve"> whether it be in support of egalitarian ends of reactionary ends. He was always in </w:t>
      </w:r>
      <w:proofErr w:type="spellStart"/>
      <w:r>
        <w:rPr>
          <w:rFonts w:ascii="Aptos" w:hAnsi="Aptos"/>
        </w:rPr>
        <w:t>favour</w:t>
      </w:r>
      <w:proofErr w:type="spellEnd"/>
      <w:r>
        <w:rPr>
          <w:rFonts w:ascii="Aptos" w:hAnsi="Aptos"/>
        </w:rPr>
        <w:t xml:space="preserve"> of liberty, and always against the state. The </w:t>
      </w:r>
      <w:proofErr w:type="spellStart"/>
      <w:r>
        <w:rPr>
          <w:rFonts w:ascii="Aptos" w:hAnsi="Aptos"/>
        </w:rPr>
        <w:t>flavour</w:t>
      </w:r>
      <w:proofErr w:type="spellEnd"/>
      <w:r>
        <w:rPr>
          <w:rFonts w:ascii="Aptos" w:hAnsi="Aptos"/>
        </w:rPr>
        <w:t xml:space="preserve"> of the political cultures he understood those to best be allied with was variable. </w:t>
      </w:r>
      <w:r w:rsidR="008F48B5">
        <w:rPr>
          <w:rFonts w:ascii="Aptos" w:hAnsi="Aptos"/>
        </w:rPr>
        <w:t xml:space="preserve">And the idea that he travelled directly from left to right should not be taken without caveat. In his championing of </w:t>
      </w:r>
      <w:r w:rsidR="004F097F">
        <w:rPr>
          <w:rFonts w:ascii="Aptos" w:hAnsi="Aptos"/>
        </w:rPr>
        <w:t xml:space="preserve">militant </w:t>
      </w:r>
      <w:r w:rsidR="008F48B5">
        <w:rPr>
          <w:rFonts w:ascii="Aptos" w:hAnsi="Aptos"/>
        </w:rPr>
        <w:t xml:space="preserve">Black </w:t>
      </w:r>
      <w:proofErr w:type="gramStart"/>
      <w:r w:rsidR="008F48B5">
        <w:rPr>
          <w:rFonts w:ascii="Aptos" w:hAnsi="Aptos"/>
        </w:rPr>
        <w:t>nationalism</w:t>
      </w:r>
      <w:proofErr w:type="gramEnd"/>
      <w:r w:rsidR="008F48B5">
        <w:rPr>
          <w:rFonts w:ascii="Aptos" w:hAnsi="Aptos"/>
        </w:rPr>
        <w:t xml:space="preserve"> he also defended the rights of white people to engage in </w:t>
      </w:r>
      <w:r w:rsidR="008F48B5" w:rsidRPr="008F48B5">
        <w:rPr>
          <w:rFonts w:ascii="Aptos" w:hAnsi="Aptos"/>
          <w:i/>
          <w:iCs/>
        </w:rPr>
        <w:t>voluntarily</w:t>
      </w:r>
      <w:r w:rsidR="008F48B5">
        <w:rPr>
          <w:rFonts w:ascii="Aptos" w:hAnsi="Aptos"/>
        </w:rPr>
        <w:t xml:space="preserve"> segregation</w:t>
      </w:r>
      <w:r w:rsidR="004F097F">
        <w:rPr>
          <w:rFonts w:ascii="Aptos" w:hAnsi="Aptos"/>
        </w:rPr>
        <w:t xml:space="preserve"> </w:t>
      </w:r>
      <w:r w:rsidR="00B50E08">
        <w:rPr>
          <w:rStyle w:val="FootnoteReference"/>
          <w:rFonts w:ascii="Aptos" w:hAnsi="Aptos"/>
        </w:rPr>
        <w:footnoteReference w:id="12"/>
      </w:r>
      <w:r w:rsidR="008F48B5">
        <w:rPr>
          <w:rFonts w:ascii="Aptos" w:hAnsi="Aptos"/>
        </w:rPr>
        <w:t xml:space="preserve">. His radical opposition to state power and advocacy for political exit </w:t>
      </w:r>
      <w:r w:rsidR="00B50E08">
        <w:rPr>
          <w:rStyle w:val="FootnoteReference"/>
          <w:rFonts w:ascii="Aptos" w:hAnsi="Aptos"/>
        </w:rPr>
        <w:footnoteReference w:id="13"/>
      </w:r>
      <w:r w:rsidR="004F097F">
        <w:rPr>
          <w:rFonts w:ascii="Aptos" w:hAnsi="Aptos"/>
        </w:rPr>
        <w:t xml:space="preserve"> </w:t>
      </w:r>
      <w:r w:rsidR="008F48B5">
        <w:rPr>
          <w:rFonts w:ascii="Aptos" w:hAnsi="Aptos"/>
        </w:rPr>
        <w:t xml:space="preserve">led him to </w:t>
      </w:r>
      <w:r w:rsidR="004F097F">
        <w:rPr>
          <w:rFonts w:ascii="Aptos" w:hAnsi="Aptos"/>
        </w:rPr>
        <w:t xml:space="preserve">side with the South in the American Civil War </w:t>
      </w:r>
      <w:r w:rsidR="00B50E08">
        <w:rPr>
          <w:rStyle w:val="FootnoteReference"/>
          <w:rFonts w:ascii="Aptos" w:hAnsi="Aptos"/>
        </w:rPr>
        <w:footnoteReference w:id="14"/>
      </w:r>
      <w:r w:rsidR="004F097F">
        <w:rPr>
          <w:rFonts w:ascii="Aptos" w:hAnsi="Aptos"/>
        </w:rPr>
        <w:t xml:space="preserve">; arguing that the moral crime of slavery and the procedural right of secession were separate </w:t>
      </w:r>
      <w:r w:rsidR="0099657B">
        <w:rPr>
          <w:rFonts w:ascii="Aptos" w:hAnsi="Aptos"/>
        </w:rPr>
        <w:t xml:space="preserve">questions </w:t>
      </w:r>
      <w:r w:rsidR="00B50E08">
        <w:rPr>
          <w:rStyle w:val="FootnoteReference"/>
          <w:rFonts w:ascii="Aptos" w:hAnsi="Aptos"/>
        </w:rPr>
        <w:footnoteReference w:id="15"/>
      </w:r>
      <w:r w:rsidR="004F097F">
        <w:rPr>
          <w:rFonts w:ascii="Aptos" w:hAnsi="Aptos"/>
        </w:rPr>
        <w:t xml:space="preserve">. </w:t>
      </w:r>
    </w:p>
    <w:p w:rsidR="007E7C85" w:rsidRDefault="007E7C85" w:rsidP="00CA0CBA">
      <w:pPr>
        <w:ind w:firstLine="720"/>
        <w:jc w:val="both"/>
        <w:rPr>
          <w:rFonts w:ascii="Aptos" w:hAnsi="Aptos"/>
        </w:rPr>
      </w:pPr>
    </w:p>
    <w:p w:rsidR="007E7C85" w:rsidRDefault="007E7C85" w:rsidP="00CA0CBA">
      <w:pPr>
        <w:ind w:left="720"/>
        <w:jc w:val="both"/>
        <w:rPr>
          <w:rFonts w:ascii="Aptos" w:hAnsi="Aptos"/>
        </w:rPr>
      </w:pPr>
      <w:r>
        <w:rPr>
          <w:rFonts w:ascii="Aptos" w:hAnsi="Aptos"/>
        </w:rPr>
        <w:t>My personal odyssey is unimportant; the important point is that if I can move from extreme right” to “extreme left” merely by standing in one place, drastic though unrecognized changes must have taken place through the American political spectrum over the last generation.</w:t>
      </w:r>
      <w:r w:rsidR="00323C8F">
        <w:rPr>
          <w:rFonts w:ascii="Aptos" w:hAnsi="Aptos"/>
        </w:rPr>
        <w:t xml:space="preserve"> </w:t>
      </w:r>
      <w:r w:rsidR="00B50E08">
        <w:rPr>
          <w:rStyle w:val="FootnoteReference"/>
          <w:rFonts w:ascii="Aptos" w:hAnsi="Aptos"/>
        </w:rPr>
        <w:footnoteReference w:id="16"/>
      </w:r>
    </w:p>
    <w:p w:rsidR="007E7C85" w:rsidRDefault="007E7C85" w:rsidP="00CA0CBA">
      <w:pPr>
        <w:ind w:firstLine="720"/>
        <w:jc w:val="both"/>
        <w:rPr>
          <w:rFonts w:ascii="Aptos" w:hAnsi="Aptos"/>
        </w:rPr>
      </w:pPr>
    </w:p>
    <w:p w:rsidR="00DA240B" w:rsidRDefault="006C21E7" w:rsidP="00CA0CBA">
      <w:pPr>
        <w:jc w:val="both"/>
        <w:rPr>
          <w:rFonts w:ascii="Aptos" w:hAnsi="Aptos"/>
        </w:rPr>
      </w:pPr>
      <w:r>
        <w:rPr>
          <w:rFonts w:ascii="Aptos" w:hAnsi="Aptos"/>
        </w:rPr>
        <w:t>His contribution to right-wing fusionism is, however, less significant than his contributions to left market anarchism.</w:t>
      </w:r>
      <w:r w:rsidR="007E7C85">
        <w:rPr>
          <w:rFonts w:ascii="Aptos" w:hAnsi="Aptos"/>
        </w:rPr>
        <w:t xml:space="preserve"> Although, history will probably more markedly remember him as a </w:t>
      </w:r>
      <w:r w:rsidR="008F48B5">
        <w:rPr>
          <w:rFonts w:ascii="Aptos" w:hAnsi="Aptos"/>
        </w:rPr>
        <w:t>contributor</w:t>
      </w:r>
      <w:r w:rsidR="007E7C85">
        <w:rPr>
          <w:rFonts w:ascii="Aptos" w:hAnsi="Aptos"/>
        </w:rPr>
        <w:t xml:space="preserve"> to the former, due to the latter’s relative political insignificance</w:t>
      </w:r>
      <w:r w:rsidR="008F48B5">
        <w:rPr>
          <w:rFonts w:ascii="Aptos" w:hAnsi="Aptos"/>
        </w:rPr>
        <w:t xml:space="preserve">. The kind of </w:t>
      </w:r>
      <w:r w:rsidR="008F48B5">
        <w:rPr>
          <w:rFonts w:ascii="Aptos" w:hAnsi="Aptos"/>
        </w:rPr>
        <w:lastRenderedPageBreak/>
        <w:t xml:space="preserve">paleo-libertarianism Rothbard believed to be a viable political vehicle </w:t>
      </w:r>
      <w:r w:rsidR="00444F0D">
        <w:rPr>
          <w:rFonts w:ascii="Aptos" w:hAnsi="Aptos"/>
        </w:rPr>
        <w:t xml:space="preserve">later in his life, </w:t>
      </w:r>
      <w:proofErr w:type="spellStart"/>
      <w:r w:rsidR="00444F0D">
        <w:rPr>
          <w:rFonts w:ascii="Aptos" w:hAnsi="Aptos"/>
        </w:rPr>
        <w:t>r</w:t>
      </w:r>
      <w:r w:rsidR="008F48B5">
        <w:rPr>
          <w:rFonts w:ascii="Aptos" w:hAnsi="Aptos"/>
        </w:rPr>
        <w:t>is</w:t>
      </w:r>
      <w:proofErr w:type="spellEnd"/>
      <w:r w:rsidR="008F48B5">
        <w:rPr>
          <w:rFonts w:ascii="Aptos" w:hAnsi="Aptos"/>
        </w:rPr>
        <w:t xml:space="preserve"> strongly associated today with the ideological coalition behind the Trump administration</w:t>
      </w:r>
      <w:r w:rsidR="0099657B">
        <w:rPr>
          <w:rFonts w:ascii="Aptos" w:hAnsi="Aptos"/>
        </w:rPr>
        <w:t>s (2017-2021, 2024-)</w:t>
      </w:r>
      <w:r w:rsidR="008F48B5">
        <w:rPr>
          <w:rFonts w:ascii="Aptos" w:hAnsi="Aptos"/>
        </w:rPr>
        <w:t xml:space="preserve">. Whereas left market anarchism does not have any </w:t>
      </w:r>
      <w:proofErr w:type="spellStart"/>
      <w:r w:rsidR="008F48B5">
        <w:rPr>
          <w:rFonts w:ascii="Aptos" w:hAnsi="Aptos"/>
        </w:rPr>
        <w:t>organised</w:t>
      </w:r>
      <w:proofErr w:type="spellEnd"/>
      <w:r w:rsidR="008F48B5">
        <w:rPr>
          <w:rFonts w:ascii="Aptos" w:hAnsi="Aptos"/>
        </w:rPr>
        <w:t xml:space="preserve"> political weight whatsoever. This is, however, a shame</w:t>
      </w:r>
      <w:r w:rsidR="00C55897">
        <w:rPr>
          <w:rFonts w:ascii="Aptos" w:hAnsi="Aptos"/>
        </w:rPr>
        <w:t xml:space="preserve">. It is the overall pattern of the pendulum that reveals the fixed point of the thread; and that is the most interesting part: the identification of the state – that ubiquitous political </w:t>
      </w:r>
      <w:proofErr w:type="spellStart"/>
      <w:r w:rsidR="00C55897">
        <w:rPr>
          <w:rFonts w:ascii="Aptos" w:hAnsi="Aptos"/>
        </w:rPr>
        <w:t>organisation</w:t>
      </w:r>
      <w:proofErr w:type="spellEnd"/>
      <w:r w:rsidR="00C55897">
        <w:rPr>
          <w:rFonts w:ascii="Aptos" w:hAnsi="Aptos"/>
        </w:rPr>
        <w:t xml:space="preserve"> – as the ultimate enemy of human freedom.</w:t>
      </w:r>
    </w:p>
    <w:p w:rsidR="00C550FA" w:rsidRDefault="00C550FA" w:rsidP="00CA0CBA">
      <w:pPr>
        <w:jc w:val="both"/>
        <w:rPr>
          <w:rFonts w:ascii="Aptos" w:hAnsi="Aptos"/>
        </w:rPr>
      </w:pPr>
    </w:p>
    <w:p w:rsidR="00A1191B" w:rsidRPr="00A1191B" w:rsidRDefault="00A1191B" w:rsidP="00CA0CBA">
      <w:pPr>
        <w:jc w:val="both"/>
        <w:rPr>
          <w:rFonts w:ascii="Aptos" w:hAnsi="Aptos"/>
          <w:b/>
          <w:bCs/>
        </w:rPr>
      </w:pPr>
      <w:r w:rsidRPr="00A1191B">
        <w:rPr>
          <w:rFonts w:ascii="Aptos" w:hAnsi="Aptos"/>
          <w:b/>
          <w:bCs/>
        </w:rPr>
        <w:t xml:space="preserve">Rothbard’s </w:t>
      </w:r>
      <w:r w:rsidR="00A4018F">
        <w:rPr>
          <w:rFonts w:ascii="Aptos" w:hAnsi="Aptos"/>
          <w:b/>
          <w:bCs/>
        </w:rPr>
        <w:t xml:space="preserve">Indirect Influence on Academic Political </w:t>
      </w:r>
      <w:r w:rsidR="00444F0D">
        <w:rPr>
          <w:rFonts w:ascii="Aptos" w:hAnsi="Aptos"/>
          <w:b/>
          <w:bCs/>
        </w:rPr>
        <w:t>Philosophy</w:t>
      </w:r>
    </w:p>
    <w:p w:rsidR="00560230" w:rsidRPr="00560230" w:rsidRDefault="006C21E7" w:rsidP="00CA0CBA">
      <w:pPr>
        <w:jc w:val="both"/>
        <w:rPr>
          <w:rFonts w:ascii="Aptos" w:hAnsi="Aptos"/>
        </w:rPr>
      </w:pPr>
      <w:r>
        <w:rPr>
          <w:rFonts w:ascii="Aptos" w:hAnsi="Aptos"/>
        </w:rPr>
        <w:t xml:space="preserve">Despite Rothbard never making any direct contributions to </w:t>
      </w:r>
      <w:r w:rsidR="00BB481C" w:rsidRPr="00BB481C">
        <w:rPr>
          <w:rFonts w:ascii="Aptos" w:hAnsi="Aptos"/>
          <w:i/>
          <w:iCs/>
        </w:rPr>
        <w:t>academic</w:t>
      </w:r>
      <w:r w:rsidR="00BB481C">
        <w:rPr>
          <w:rFonts w:ascii="Aptos" w:hAnsi="Aptos"/>
        </w:rPr>
        <w:t xml:space="preserve"> </w:t>
      </w:r>
      <w:r>
        <w:rPr>
          <w:rFonts w:ascii="Aptos" w:hAnsi="Aptos"/>
        </w:rPr>
        <w:t>political philosophy</w:t>
      </w:r>
      <w:r w:rsidR="00BB481C">
        <w:rPr>
          <w:rFonts w:ascii="Aptos" w:hAnsi="Aptos"/>
        </w:rPr>
        <w:t xml:space="preserve"> (he never published in any philosophy journals, he only wrote books, published in economics journals, and in libertarian outlets), he indirectly contributed quite significantly via his influence on Robert Nozick</w:t>
      </w:r>
      <w:r w:rsidR="00560230">
        <w:rPr>
          <w:rFonts w:ascii="Aptos" w:hAnsi="Aptos"/>
        </w:rPr>
        <w:t xml:space="preserve">. Nozick was </w:t>
      </w:r>
      <w:r w:rsidR="00BB481C">
        <w:rPr>
          <w:rFonts w:ascii="Aptos" w:hAnsi="Aptos"/>
        </w:rPr>
        <w:t xml:space="preserve">a Harvard philosopher who would go on to write </w:t>
      </w:r>
      <w:r w:rsidR="00560230">
        <w:rPr>
          <w:rFonts w:ascii="Aptos" w:hAnsi="Aptos"/>
        </w:rPr>
        <w:t>one of the</w:t>
      </w:r>
      <w:r w:rsidR="00BB481C">
        <w:rPr>
          <w:rFonts w:ascii="Aptos" w:hAnsi="Aptos"/>
        </w:rPr>
        <w:t xml:space="preserve"> most important book</w:t>
      </w:r>
      <w:r w:rsidR="00560230">
        <w:rPr>
          <w:rFonts w:ascii="Aptos" w:hAnsi="Aptos"/>
        </w:rPr>
        <w:t>s monographs in</w:t>
      </w:r>
      <w:r w:rsidR="00BB481C">
        <w:rPr>
          <w:rFonts w:ascii="Aptos" w:hAnsi="Aptos"/>
        </w:rPr>
        <w:t xml:space="preserve"> political philosophy o</w:t>
      </w:r>
      <w:r w:rsidR="00560230">
        <w:rPr>
          <w:rFonts w:ascii="Aptos" w:hAnsi="Aptos"/>
        </w:rPr>
        <w:t>f</w:t>
      </w:r>
      <w:r w:rsidR="00BB481C">
        <w:rPr>
          <w:rFonts w:ascii="Aptos" w:hAnsi="Aptos"/>
        </w:rPr>
        <w:t xml:space="preserve"> the 20</w:t>
      </w:r>
      <w:r w:rsidR="00BB481C" w:rsidRPr="00BB481C">
        <w:rPr>
          <w:rFonts w:ascii="Aptos" w:hAnsi="Aptos"/>
          <w:vertAlign w:val="superscript"/>
        </w:rPr>
        <w:t>th</w:t>
      </w:r>
      <w:r w:rsidR="00BB481C">
        <w:rPr>
          <w:rFonts w:ascii="Aptos" w:hAnsi="Aptos"/>
        </w:rPr>
        <w:t xml:space="preserve">-century: </w:t>
      </w:r>
      <w:r w:rsidR="00BB481C">
        <w:rPr>
          <w:rFonts w:ascii="Aptos" w:hAnsi="Aptos"/>
          <w:i/>
          <w:iCs/>
        </w:rPr>
        <w:t>Anarchy, State, and Utopia</w:t>
      </w:r>
      <w:r w:rsidR="00560230">
        <w:rPr>
          <w:rFonts w:ascii="Aptos" w:hAnsi="Aptos"/>
        </w:rPr>
        <w:t xml:space="preserve"> </w:t>
      </w:r>
      <w:r w:rsidR="00B50E08">
        <w:rPr>
          <w:rStyle w:val="FootnoteReference"/>
          <w:rFonts w:ascii="Aptos" w:hAnsi="Aptos"/>
        </w:rPr>
        <w:footnoteReference w:id="17"/>
      </w:r>
      <w:r w:rsidR="00BB481C">
        <w:rPr>
          <w:rFonts w:ascii="Aptos" w:hAnsi="Aptos"/>
        </w:rPr>
        <w:t xml:space="preserve">. </w:t>
      </w:r>
      <w:r w:rsidR="00560230">
        <w:rPr>
          <w:rFonts w:ascii="Aptos" w:hAnsi="Aptos"/>
        </w:rPr>
        <w:t xml:space="preserve">The larger, middle section of which, was a direct response to his colleague John Rawls’s </w:t>
      </w:r>
      <w:r w:rsidR="00560230">
        <w:rPr>
          <w:rFonts w:ascii="Aptos" w:hAnsi="Aptos"/>
          <w:i/>
          <w:iCs/>
        </w:rPr>
        <w:t xml:space="preserve">Theory of Justice </w:t>
      </w:r>
      <w:r w:rsidR="00B50E08">
        <w:rPr>
          <w:rStyle w:val="FootnoteReference"/>
          <w:rFonts w:ascii="Aptos" w:hAnsi="Aptos"/>
          <w:i/>
          <w:iCs/>
        </w:rPr>
        <w:footnoteReference w:id="18"/>
      </w:r>
      <w:r w:rsidR="00560230">
        <w:rPr>
          <w:rFonts w:ascii="Aptos" w:hAnsi="Aptos"/>
        </w:rPr>
        <w:t xml:space="preserve"> (the other most important book of that century)</w:t>
      </w:r>
    </w:p>
    <w:p w:rsidR="00461F18" w:rsidRDefault="00BB481C" w:rsidP="00CA0CBA">
      <w:pPr>
        <w:ind w:firstLine="720"/>
        <w:jc w:val="both"/>
        <w:rPr>
          <w:rFonts w:ascii="Aptos" w:hAnsi="Aptos"/>
        </w:rPr>
      </w:pPr>
      <w:r>
        <w:rPr>
          <w:rFonts w:ascii="Aptos" w:hAnsi="Aptos"/>
        </w:rPr>
        <w:t>This book, for the first time, dealt seriously with libertarian challenges to mainstream political philosophy that was heavily apologetic for the post-war liberalism of the New Deal.</w:t>
      </w:r>
      <w:r w:rsidR="00461F18">
        <w:rPr>
          <w:rFonts w:ascii="Aptos" w:hAnsi="Aptos"/>
        </w:rPr>
        <w:t xml:space="preserve"> Before joining the </w:t>
      </w:r>
      <w:r w:rsidR="00461F18">
        <w:rPr>
          <w:rFonts w:ascii="Aptos" w:hAnsi="Aptos"/>
          <w:i/>
          <w:iCs/>
        </w:rPr>
        <w:t>Circle Bastiat</w:t>
      </w:r>
      <w:r w:rsidR="00461F18">
        <w:rPr>
          <w:rFonts w:ascii="Aptos" w:hAnsi="Aptos"/>
        </w:rPr>
        <w:t xml:space="preserve"> – a regular meeting of libertarian New York City intellectuals at Rothbard’s apartment – Nozick had read classical liberal and libertarian authors such as Ludwig von Mises, F. A. Hayek, Milton Friedman, and Henry Hazlitt. However, Nozick’s libertarian arguments in </w:t>
      </w:r>
      <w:r w:rsidR="00461F18">
        <w:rPr>
          <w:rFonts w:ascii="Aptos" w:hAnsi="Aptos"/>
          <w:i/>
          <w:iCs/>
        </w:rPr>
        <w:t>Anarchy, State, and Utopia</w:t>
      </w:r>
      <w:r w:rsidR="00461F18">
        <w:rPr>
          <w:rFonts w:ascii="Aptos" w:hAnsi="Aptos"/>
        </w:rPr>
        <w:t xml:space="preserve"> were couched the in conceptual framework of </w:t>
      </w:r>
      <w:r w:rsidR="00461F18" w:rsidRPr="00461F18">
        <w:rPr>
          <w:rFonts w:ascii="Aptos" w:hAnsi="Aptos"/>
          <w:i/>
          <w:iCs/>
        </w:rPr>
        <w:t>natural rights</w:t>
      </w:r>
      <w:r w:rsidR="00461F18">
        <w:rPr>
          <w:rFonts w:ascii="Aptos" w:hAnsi="Aptos"/>
        </w:rPr>
        <w:t>. Neither of these thinkers worked in this framework. But Rothbard did.</w:t>
      </w:r>
      <w:r w:rsidR="000153BB">
        <w:rPr>
          <w:rFonts w:ascii="Aptos" w:hAnsi="Aptos"/>
        </w:rPr>
        <w:t xml:space="preserve"> </w:t>
      </w:r>
      <w:r w:rsidR="00B50E08">
        <w:rPr>
          <w:rStyle w:val="FootnoteReference"/>
          <w:rFonts w:ascii="Aptos" w:hAnsi="Aptos"/>
        </w:rPr>
        <w:footnoteReference w:id="19"/>
      </w:r>
    </w:p>
    <w:p w:rsidR="00461F18" w:rsidRDefault="00461F18" w:rsidP="00CA0CBA">
      <w:pPr>
        <w:ind w:firstLine="720"/>
        <w:jc w:val="both"/>
        <w:rPr>
          <w:rFonts w:ascii="Aptos" w:hAnsi="Aptos"/>
        </w:rPr>
      </w:pPr>
      <w:r>
        <w:rPr>
          <w:rFonts w:ascii="Aptos" w:hAnsi="Aptos"/>
        </w:rPr>
        <w:t xml:space="preserve">The thesis of Nozick’s book was, in short, that the minimal state is justified, that no more of an extensive state can be justified, and moreover, that minimal state is an inspiring “framework for utopia.” The philosophical mainstream was very much in support of extensive government intervention in the economy for the sake of ensuring more equal socioeconomic outcomes than it was believed would exist in a laissez-faire system. Nozick sought to argue that the intervention of the state in the marketplace, for any other reason than securing people’s natural rights (over their person and property), was a violation of those rights. But he was not an anarchist: he explicitly argued from the anarchistic, natural </w:t>
      </w:r>
      <w:r>
        <w:rPr>
          <w:rFonts w:ascii="Aptos" w:hAnsi="Aptos"/>
        </w:rPr>
        <w:lastRenderedPageBreak/>
        <w:t>rights premises of Rothbard toward the legitimation of a (minimal) state.</w:t>
      </w:r>
      <w:r w:rsidR="00177C30">
        <w:rPr>
          <w:rFonts w:ascii="Aptos" w:hAnsi="Aptos"/>
        </w:rPr>
        <w:t xml:space="preserve"> Nozick uses a Lockean framework for thinking through the rights people have in the absence of a state</w:t>
      </w:r>
      <w:r w:rsidR="006566F2">
        <w:rPr>
          <w:rFonts w:ascii="Aptos" w:hAnsi="Aptos"/>
        </w:rPr>
        <w:t xml:space="preserve"> </w:t>
      </w:r>
      <w:r w:rsidR="00B50E08">
        <w:rPr>
          <w:rStyle w:val="FootnoteReference"/>
          <w:rFonts w:ascii="Aptos" w:hAnsi="Aptos"/>
        </w:rPr>
        <w:footnoteReference w:id="20"/>
      </w:r>
      <w:r w:rsidR="00177C30">
        <w:rPr>
          <w:rFonts w:ascii="Aptos" w:hAnsi="Aptos"/>
        </w:rPr>
        <w:t xml:space="preserve">. At this time, no one thought that </w:t>
      </w:r>
      <w:proofErr w:type="spellStart"/>
      <w:r w:rsidR="00177C30">
        <w:rPr>
          <w:rFonts w:ascii="Aptos" w:hAnsi="Aptos"/>
        </w:rPr>
        <w:t>Lockeanism</w:t>
      </w:r>
      <w:proofErr w:type="spellEnd"/>
      <w:r w:rsidR="00177C30">
        <w:rPr>
          <w:rFonts w:ascii="Aptos" w:hAnsi="Aptos"/>
        </w:rPr>
        <w:t xml:space="preserve"> implied anarchism (since Locke himself was no anarchist).</w:t>
      </w:r>
      <w:r w:rsidR="00177C30">
        <w:rPr>
          <w:rStyle w:val="FootnoteReference"/>
          <w:rFonts w:ascii="Aptos" w:hAnsi="Aptos"/>
        </w:rPr>
        <w:footnoteReference w:id="21"/>
      </w:r>
      <w:r w:rsidR="00177C30">
        <w:rPr>
          <w:rFonts w:ascii="Aptos" w:hAnsi="Aptos"/>
        </w:rPr>
        <w:t xml:space="preserve"> The idea that natural rights anarchism needed to be debunked had to have come from discussions with Rothbard.</w:t>
      </w:r>
    </w:p>
    <w:p w:rsidR="00177C30" w:rsidRDefault="00177C30" w:rsidP="00CA0CBA">
      <w:pPr>
        <w:jc w:val="both"/>
        <w:rPr>
          <w:rFonts w:ascii="Aptos" w:hAnsi="Aptos"/>
        </w:rPr>
      </w:pPr>
      <w:r>
        <w:rPr>
          <w:rFonts w:ascii="Aptos" w:hAnsi="Aptos"/>
        </w:rPr>
        <w:tab/>
        <w:t>The natural rights argument against the state did not originate in Rothbard, but he did explicitly formulate it, and give Nozick cause to bring radical libertarianism into the academic mainstream of philosophy.</w:t>
      </w:r>
      <w:r w:rsidR="000153BB">
        <w:rPr>
          <w:rFonts w:ascii="Aptos" w:hAnsi="Aptos"/>
        </w:rPr>
        <w:t xml:space="preserve"> As Roderick Long has argued:</w:t>
      </w:r>
    </w:p>
    <w:p w:rsidR="000153BB" w:rsidRPr="000153BB" w:rsidRDefault="000153BB" w:rsidP="00CA0CBA">
      <w:pPr>
        <w:ind w:left="720"/>
        <w:jc w:val="both"/>
        <w:rPr>
          <w:rFonts w:ascii="Aptos" w:hAnsi="Aptos"/>
        </w:rPr>
      </w:pPr>
      <w:r>
        <w:rPr>
          <w:rFonts w:ascii="Aptos" w:hAnsi="Aptos"/>
        </w:rPr>
        <w:t xml:space="preserve">While establishment intellectuals have granted </w:t>
      </w:r>
      <w:r>
        <w:rPr>
          <w:rFonts w:ascii="Aptos" w:hAnsi="Aptos"/>
          <w:i/>
          <w:iCs/>
        </w:rPr>
        <w:t>ASU</w:t>
      </w:r>
      <w:r>
        <w:rPr>
          <w:rFonts w:ascii="Aptos" w:hAnsi="Aptos"/>
        </w:rPr>
        <w:t xml:space="preserve"> a spot in the official canon, they have not yet fully come to grips with the ideas it contains. […] Nor, being unfamiliar with any libertarian theorist other than Nozick, do most academics recognize the extent – far deeper than the passing reference in his footnotes might suggest – of Nozick’s dependence on, and engagement (both sympathetic and critical)</w:t>
      </w:r>
      <w:r w:rsidR="0045596A">
        <w:rPr>
          <w:rFonts w:ascii="Aptos" w:hAnsi="Aptos"/>
        </w:rPr>
        <w:t xml:space="preserve"> with, earlier libertarian thinkers. </w:t>
      </w:r>
      <w:r w:rsidR="00B50E08">
        <w:rPr>
          <w:rStyle w:val="FootnoteReference"/>
          <w:rFonts w:ascii="Aptos" w:hAnsi="Aptos"/>
        </w:rPr>
        <w:footnoteReference w:id="22"/>
      </w:r>
    </w:p>
    <w:p w:rsidR="00461F18" w:rsidRDefault="00A4018F" w:rsidP="00CA0CBA">
      <w:pPr>
        <w:jc w:val="both"/>
        <w:rPr>
          <w:rFonts w:ascii="Aptos" w:hAnsi="Aptos"/>
        </w:rPr>
      </w:pPr>
      <w:r>
        <w:rPr>
          <w:rFonts w:ascii="Aptos" w:hAnsi="Aptos"/>
        </w:rPr>
        <w:t>Indeed, many readers of Nozick take anarcho-capitalism to be a mere thought experiment of Nozick’s own devising, rather than an actual argument made in text b</w:t>
      </w:r>
      <w:r w:rsidR="00444F0D">
        <w:rPr>
          <w:rFonts w:ascii="Aptos" w:hAnsi="Aptos"/>
        </w:rPr>
        <w:t>y</w:t>
      </w:r>
      <w:r>
        <w:rPr>
          <w:rFonts w:ascii="Aptos" w:hAnsi="Aptos"/>
        </w:rPr>
        <w:t xml:space="preserve"> figures that influenced him.</w:t>
      </w:r>
    </w:p>
    <w:p w:rsidR="004F364C" w:rsidRPr="00BB481C" w:rsidRDefault="004F364C" w:rsidP="00CA0CBA">
      <w:pPr>
        <w:jc w:val="both"/>
        <w:rPr>
          <w:rFonts w:ascii="Aptos" w:hAnsi="Aptos"/>
        </w:rPr>
      </w:pPr>
    </w:p>
    <w:p w:rsidR="006C21E7" w:rsidRPr="004C3BF8" w:rsidRDefault="004C3BF8" w:rsidP="00CA0CBA">
      <w:pPr>
        <w:jc w:val="both"/>
        <w:rPr>
          <w:rFonts w:ascii="Aptos" w:hAnsi="Aptos"/>
          <w:b/>
          <w:bCs/>
        </w:rPr>
      </w:pPr>
      <w:r>
        <w:rPr>
          <w:rFonts w:ascii="Aptos" w:hAnsi="Aptos"/>
          <w:b/>
          <w:bCs/>
        </w:rPr>
        <w:t>Rothbard’s Natural Rights Argument Against the State</w:t>
      </w:r>
    </w:p>
    <w:p w:rsidR="00A81DB7" w:rsidRDefault="004C3BF8" w:rsidP="00CA0CBA">
      <w:pPr>
        <w:jc w:val="both"/>
        <w:rPr>
          <w:rFonts w:ascii="Aptos" w:hAnsi="Aptos"/>
        </w:rPr>
      </w:pPr>
      <w:r>
        <w:rPr>
          <w:rFonts w:ascii="Aptos" w:hAnsi="Aptos"/>
        </w:rPr>
        <w:t xml:space="preserve">Historically, natural </w:t>
      </w:r>
      <w:proofErr w:type="gramStart"/>
      <w:r>
        <w:rPr>
          <w:rFonts w:ascii="Aptos" w:hAnsi="Aptos"/>
        </w:rPr>
        <w:t>rights based</w:t>
      </w:r>
      <w:proofErr w:type="gramEnd"/>
      <w:r>
        <w:rPr>
          <w:rFonts w:ascii="Aptos" w:hAnsi="Aptos"/>
        </w:rPr>
        <w:t xml:space="preserve"> arguments were used to help us understand the nature, function, legitimacy, and limits</w:t>
      </w:r>
      <w:r w:rsidR="00444F0D">
        <w:rPr>
          <w:rFonts w:ascii="Aptos" w:hAnsi="Aptos"/>
        </w:rPr>
        <w:t>,</w:t>
      </w:r>
      <w:r>
        <w:rPr>
          <w:rFonts w:ascii="Aptos" w:hAnsi="Aptos"/>
        </w:rPr>
        <w:t xml:space="preserve"> of government. John Locke</w:t>
      </w:r>
      <w:r w:rsidR="006566F2">
        <w:rPr>
          <w:rFonts w:ascii="Aptos" w:hAnsi="Aptos"/>
        </w:rPr>
        <w:t xml:space="preserve"> </w:t>
      </w:r>
      <w:r w:rsidR="00B50E08">
        <w:rPr>
          <w:rStyle w:val="FootnoteReference"/>
          <w:rFonts w:ascii="Aptos" w:hAnsi="Aptos"/>
        </w:rPr>
        <w:footnoteReference w:id="23"/>
      </w:r>
      <w:r>
        <w:rPr>
          <w:rFonts w:ascii="Aptos" w:hAnsi="Aptos"/>
        </w:rPr>
        <w:t xml:space="preserve"> and Immanuel Kant </w:t>
      </w:r>
      <w:r w:rsidR="006566F2">
        <w:rPr>
          <w:rFonts w:ascii="Aptos" w:hAnsi="Aptos"/>
        </w:rPr>
        <w:t xml:space="preserve"> </w:t>
      </w:r>
      <w:r w:rsidR="00B50E08">
        <w:rPr>
          <w:rStyle w:val="FootnoteReference"/>
          <w:rFonts w:ascii="Aptos" w:hAnsi="Aptos"/>
        </w:rPr>
        <w:footnoteReference w:id="24"/>
      </w:r>
      <w:r w:rsidR="006566F2">
        <w:rPr>
          <w:rFonts w:ascii="Aptos" w:hAnsi="Aptos"/>
        </w:rPr>
        <w:t xml:space="preserve"> </w:t>
      </w:r>
      <w:r>
        <w:rPr>
          <w:rFonts w:ascii="Aptos" w:hAnsi="Aptos"/>
        </w:rPr>
        <w:t>especially developed theories of property in order to show just how crucial government is to human freedom (within</w:t>
      </w:r>
      <w:r w:rsidR="00444F0D">
        <w:rPr>
          <w:rFonts w:ascii="Aptos" w:hAnsi="Aptos"/>
        </w:rPr>
        <w:t xml:space="preserve"> strict</w:t>
      </w:r>
      <w:r>
        <w:rPr>
          <w:rFonts w:ascii="Aptos" w:hAnsi="Aptos"/>
        </w:rPr>
        <w:t xml:space="preserve"> limits, of course). </w:t>
      </w:r>
      <w:r w:rsidR="00A81DB7">
        <w:rPr>
          <w:rFonts w:ascii="Aptos" w:hAnsi="Aptos"/>
        </w:rPr>
        <w:t xml:space="preserve">The most unorthodox aspect of </w:t>
      </w:r>
      <w:r>
        <w:rPr>
          <w:rFonts w:ascii="Aptos" w:hAnsi="Aptos"/>
        </w:rPr>
        <w:t>Rothbard’s</w:t>
      </w:r>
      <w:r w:rsidR="00A81DB7">
        <w:rPr>
          <w:rFonts w:ascii="Aptos" w:hAnsi="Aptos"/>
        </w:rPr>
        <w:t xml:space="preserve"> theory of natural rights</w:t>
      </w:r>
      <w:r>
        <w:rPr>
          <w:rFonts w:ascii="Aptos" w:hAnsi="Aptos"/>
        </w:rPr>
        <w:t>, then,</w:t>
      </w:r>
      <w:r w:rsidR="00A81DB7">
        <w:rPr>
          <w:rFonts w:ascii="Aptos" w:hAnsi="Aptos"/>
        </w:rPr>
        <w:t xml:space="preserve"> was that they made a legitimate state a logical impossibility. The state, as a monopoly on the authori</w:t>
      </w:r>
      <w:r w:rsidR="00444F0D">
        <w:rPr>
          <w:rFonts w:ascii="Aptos" w:hAnsi="Aptos"/>
        </w:rPr>
        <w:t>s</w:t>
      </w:r>
      <w:r w:rsidR="00A81DB7">
        <w:rPr>
          <w:rFonts w:ascii="Aptos" w:hAnsi="Aptos"/>
        </w:rPr>
        <w:t xml:space="preserve">ed use of coercion in society, must necessarily use coercion to sustain its monopoly. This coercion violates the natural rights of those who would otherwise compete with the state in the production of public goods like </w:t>
      </w:r>
      <w:r w:rsidR="004F364C">
        <w:rPr>
          <w:rFonts w:ascii="Aptos" w:hAnsi="Aptos"/>
        </w:rPr>
        <w:t xml:space="preserve">dispute </w:t>
      </w:r>
      <w:r w:rsidR="004F364C">
        <w:rPr>
          <w:rFonts w:ascii="Aptos" w:hAnsi="Aptos"/>
        </w:rPr>
        <w:lastRenderedPageBreak/>
        <w:t>resolution</w:t>
      </w:r>
      <w:r w:rsidR="00A81DB7">
        <w:rPr>
          <w:rFonts w:ascii="Aptos" w:hAnsi="Aptos"/>
        </w:rPr>
        <w:t xml:space="preserve"> and security, and those who would otherwise choose a different agent to protect their rights.</w:t>
      </w:r>
    </w:p>
    <w:p w:rsidR="00010DF6" w:rsidRDefault="004C3BF8" w:rsidP="00CA0CBA">
      <w:pPr>
        <w:ind w:firstLine="720"/>
        <w:jc w:val="both"/>
        <w:rPr>
          <w:rFonts w:ascii="Aptos" w:hAnsi="Aptos"/>
        </w:rPr>
      </w:pPr>
      <w:r>
        <w:rPr>
          <w:rFonts w:ascii="Aptos" w:hAnsi="Aptos"/>
        </w:rPr>
        <w:t xml:space="preserve">In his </w:t>
      </w:r>
      <w:r>
        <w:rPr>
          <w:rFonts w:ascii="Aptos" w:hAnsi="Aptos"/>
          <w:i/>
          <w:iCs/>
        </w:rPr>
        <w:t xml:space="preserve">Ethics of Liberty </w:t>
      </w:r>
      <w:r w:rsidR="00B50E08">
        <w:rPr>
          <w:rStyle w:val="FootnoteReference"/>
          <w:rFonts w:ascii="Aptos" w:hAnsi="Aptos"/>
          <w:i/>
          <w:iCs/>
        </w:rPr>
        <w:footnoteReference w:id="25"/>
      </w:r>
      <w:r>
        <w:rPr>
          <w:rFonts w:ascii="Aptos" w:hAnsi="Aptos"/>
        </w:rPr>
        <w:t>, Rothbard a</w:t>
      </w:r>
      <w:r w:rsidR="004909FF">
        <w:rPr>
          <w:rFonts w:ascii="Aptos" w:hAnsi="Aptos"/>
        </w:rPr>
        <w:t xml:space="preserve"> secular case for an objective natural moral law grounded in human nature and reason</w:t>
      </w:r>
      <w:r w:rsidR="00F62579">
        <w:rPr>
          <w:rFonts w:ascii="Aptos" w:hAnsi="Aptos"/>
        </w:rPr>
        <w:t xml:space="preserve"> </w:t>
      </w:r>
      <w:r w:rsidR="00B50E08">
        <w:rPr>
          <w:rStyle w:val="FootnoteReference"/>
          <w:rFonts w:ascii="Aptos" w:hAnsi="Aptos"/>
        </w:rPr>
        <w:footnoteReference w:id="26"/>
      </w:r>
      <w:r w:rsidR="004909FF">
        <w:rPr>
          <w:rFonts w:ascii="Aptos" w:hAnsi="Aptos"/>
        </w:rPr>
        <w:t>. Natural rights are the juridical expression of the natural law</w:t>
      </w:r>
      <w:r w:rsidR="00F62579">
        <w:rPr>
          <w:rFonts w:ascii="Aptos" w:hAnsi="Aptos"/>
        </w:rPr>
        <w:t xml:space="preserve"> </w:t>
      </w:r>
      <w:r w:rsidR="00B50E08">
        <w:rPr>
          <w:rStyle w:val="FootnoteReference"/>
          <w:rFonts w:ascii="Aptos" w:hAnsi="Aptos"/>
        </w:rPr>
        <w:footnoteReference w:id="27"/>
      </w:r>
      <w:r w:rsidR="004909FF">
        <w:rPr>
          <w:rFonts w:ascii="Aptos" w:hAnsi="Aptos"/>
        </w:rPr>
        <w:t xml:space="preserve">. Rothbard takes rights to be legitimately </w:t>
      </w:r>
      <w:r w:rsidR="004909FF" w:rsidRPr="004909FF">
        <w:rPr>
          <w:rFonts w:ascii="Aptos" w:hAnsi="Aptos"/>
          <w:i/>
          <w:iCs/>
        </w:rPr>
        <w:t>enforceable</w:t>
      </w:r>
      <w:r w:rsidR="004909FF">
        <w:rPr>
          <w:rFonts w:ascii="Aptos" w:hAnsi="Aptos"/>
        </w:rPr>
        <w:t xml:space="preserve"> claims. Hence, whenever the natural law </w:t>
      </w:r>
      <w:proofErr w:type="spellStart"/>
      <w:r w:rsidR="004909FF">
        <w:rPr>
          <w:rFonts w:ascii="Aptos" w:hAnsi="Aptos"/>
        </w:rPr>
        <w:t>authorises</w:t>
      </w:r>
      <w:proofErr w:type="spellEnd"/>
      <w:r w:rsidR="004909FF">
        <w:rPr>
          <w:rFonts w:ascii="Aptos" w:hAnsi="Aptos"/>
        </w:rPr>
        <w:t xml:space="preserve"> us to use force, we have a natural right. Rothbard takes political philosophy to simply be the philosophy of the use of violence in society. Hence, the core of political philosophy is our natural rights </w:t>
      </w:r>
      <w:r w:rsidR="00B50E08">
        <w:rPr>
          <w:rStyle w:val="FootnoteReference"/>
          <w:rFonts w:ascii="Aptos" w:hAnsi="Aptos"/>
        </w:rPr>
        <w:footnoteReference w:id="28"/>
      </w:r>
      <w:r w:rsidR="00F62579">
        <w:rPr>
          <w:rFonts w:ascii="Aptos" w:hAnsi="Aptos"/>
        </w:rPr>
        <w:t xml:space="preserve">. In a sort of Kantian-Lockean synthesis, Rothbard argues that the most central right is the right to determine our own actions and, therefore, a right of ownership over our own persons. Self-ownership can therefore expand outward into the extra-personal world through our physical entanglement of it with our actions. </w:t>
      </w:r>
      <w:r w:rsidR="00B50E08">
        <w:rPr>
          <w:rStyle w:val="FootnoteReference"/>
          <w:rFonts w:ascii="Aptos" w:hAnsi="Aptos"/>
        </w:rPr>
        <w:footnoteReference w:id="29"/>
      </w:r>
      <w:r w:rsidR="00F62579">
        <w:rPr>
          <w:rFonts w:ascii="Aptos" w:hAnsi="Aptos"/>
        </w:rPr>
        <w:t xml:space="preserve"> </w:t>
      </w:r>
      <w:r w:rsidR="00010DF6">
        <w:rPr>
          <w:rFonts w:ascii="Aptos" w:hAnsi="Aptos"/>
        </w:rPr>
        <w:t xml:space="preserve">One’s powers of original acquisition in this manner extend only so far as one has “actual labor brought them into production.” </w:t>
      </w:r>
      <w:r w:rsidR="00B50E08">
        <w:rPr>
          <w:rStyle w:val="FootnoteReference"/>
          <w:rFonts w:ascii="Aptos" w:hAnsi="Aptos"/>
        </w:rPr>
        <w:footnoteReference w:id="30"/>
      </w:r>
      <w:r w:rsidR="00E42373">
        <w:rPr>
          <w:rFonts w:ascii="Aptos" w:hAnsi="Aptos"/>
        </w:rPr>
        <w:t xml:space="preserve"> </w:t>
      </w:r>
      <w:r w:rsidR="00010DF6">
        <w:rPr>
          <w:rFonts w:ascii="Aptos" w:hAnsi="Aptos"/>
        </w:rPr>
        <w:t xml:space="preserve">No one may use, damage, or take your property, legitimately so acquired, without invading your rights. </w:t>
      </w:r>
      <w:r w:rsidR="00E42373">
        <w:rPr>
          <w:rFonts w:ascii="Aptos" w:hAnsi="Aptos"/>
        </w:rPr>
        <w:t xml:space="preserve">If one’s rights are threatened, one is authorised to use proportional force in their </w:t>
      </w:r>
      <w:proofErr w:type="spellStart"/>
      <w:r w:rsidR="00E42373">
        <w:rPr>
          <w:rFonts w:ascii="Aptos" w:hAnsi="Aptos"/>
        </w:rPr>
        <w:t>defence</w:t>
      </w:r>
      <w:proofErr w:type="spellEnd"/>
      <w:r w:rsidR="00E42373">
        <w:rPr>
          <w:rFonts w:ascii="Aptos" w:hAnsi="Aptos"/>
        </w:rPr>
        <w:t xml:space="preserve"> </w:t>
      </w:r>
      <w:r w:rsidR="00B50E08">
        <w:rPr>
          <w:rStyle w:val="FootnoteReference"/>
          <w:rFonts w:ascii="Aptos" w:hAnsi="Aptos"/>
        </w:rPr>
        <w:footnoteReference w:id="31"/>
      </w:r>
      <w:r w:rsidR="00E42373">
        <w:rPr>
          <w:rFonts w:ascii="Aptos" w:hAnsi="Aptos"/>
        </w:rPr>
        <w:t xml:space="preserve">. </w:t>
      </w:r>
      <w:r w:rsidR="00010DF6">
        <w:rPr>
          <w:rFonts w:ascii="Aptos" w:hAnsi="Aptos"/>
        </w:rPr>
        <w:t xml:space="preserve">Due to the intimate connection between body and property </w:t>
      </w:r>
      <w:r w:rsidR="00B50E08">
        <w:rPr>
          <w:rStyle w:val="FootnoteReference"/>
          <w:rFonts w:ascii="Aptos" w:hAnsi="Aptos"/>
        </w:rPr>
        <w:footnoteReference w:id="32"/>
      </w:r>
      <w:r w:rsidR="00010DF6">
        <w:rPr>
          <w:rFonts w:ascii="Aptos" w:hAnsi="Aptos"/>
        </w:rPr>
        <w:t xml:space="preserve">, on his view, invasion of property rights </w:t>
      </w:r>
      <w:r w:rsidR="00010DF6" w:rsidRPr="008C0498">
        <w:rPr>
          <w:rFonts w:ascii="Aptos" w:hAnsi="Aptos"/>
          <w:i/>
          <w:iCs/>
        </w:rPr>
        <w:t>is</w:t>
      </w:r>
      <w:r w:rsidR="00010DF6">
        <w:rPr>
          <w:rFonts w:ascii="Aptos" w:hAnsi="Aptos"/>
        </w:rPr>
        <w:t xml:space="preserve"> an act of physical aggression </w:t>
      </w:r>
      <w:r w:rsidR="00B50E08">
        <w:rPr>
          <w:rStyle w:val="FootnoteReference"/>
          <w:rFonts w:ascii="Aptos" w:hAnsi="Aptos"/>
        </w:rPr>
        <w:footnoteReference w:id="33"/>
      </w:r>
      <w:r w:rsidR="00010DF6">
        <w:rPr>
          <w:rFonts w:ascii="Aptos" w:hAnsi="Aptos"/>
        </w:rPr>
        <w:t>.</w:t>
      </w:r>
      <w:r w:rsidR="008C0498">
        <w:rPr>
          <w:rFonts w:ascii="Aptos" w:hAnsi="Aptos"/>
        </w:rPr>
        <w:t xml:space="preserve"> The natural right of property is therefore an extension of the natural right not to be assaulted. </w:t>
      </w:r>
    </w:p>
    <w:p w:rsidR="00E42373" w:rsidRDefault="00E42373" w:rsidP="00CA0CBA">
      <w:pPr>
        <w:ind w:firstLine="720"/>
        <w:jc w:val="both"/>
        <w:rPr>
          <w:rFonts w:ascii="Aptos" w:hAnsi="Aptos"/>
        </w:rPr>
      </w:pPr>
      <w:r>
        <w:rPr>
          <w:rFonts w:ascii="Aptos" w:hAnsi="Aptos"/>
        </w:rPr>
        <w:t xml:space="preserve">Rothbard’s definition of the state is in line with that canonical in political science and political theory which is credited to Max Weber </w:t>
      </w:r>
      <w:r w:rsidR="00B50E08">
        <w:rPr>
          <w:rStyle w:val="FootnoteReference"/>
          <w:rFonts w:ascii="Aptos" w:hAnsi="Aptos"/>
        </w:rPr>
        <w:footnoteReference w:id="34"/>
      </w:r>
      <w:r>
        <w:rPr>
          <w:rFonts w:ascii="Aptos" w:hAnsi="Aptos"/>
        </w:rPr>
        <w:t>. Rothbard writes:</w:t>
      </w:r>
    </w:p>
    <w:p w:rsidR="00E42373" w:rsidRDefault="00E42373" w:rsidP="00CA0CBA">
      <w:pPr>
        <w:ind w:firstLine="720"/>
        <w:jc w:val="both"/>
        <w:rPr>
          <w:rFonts w:ascii="Aptos" w:hAnsi="Aptos"/>
        </w:rPr>
      </w:pPr>
    </w:p>
    <w:p w:rsidR="00E42373" w:rsidRDefault="00E42373" w:rsidP="00CA0CBA">
      <w:pPr>
        <w:ind w:left="720"/>
        <w:jc w:val="both"/>
        <w:rPr>
          <w:rFonts w:ascii="Aptos" w:hAnsi="Aptos"/>
        </w:rPr>
      </w:pPr>
      <w:r>
        <w:rPr>
          <w:rFonts w:ascii="Aptos" w:hAnsi="Aptos"/>
        </w:rPr>
        <w:t xml:space="preserve">Throughout history, groups of men calling themselves “the government” or “the State” have attempted – usually successfully – to gain a compulsory monopoly of the commanding heights of the economy and the society. In particular, the State has arrogated to itself a compulsory monopoly over police and military services, the provision of law, judicial decision-making, the mint and the power to create money, </w:t>
      </w:r>
      <w:r>
        <w:rPr>
          <w:rFonts w:ascii="Aptos" w:hAnsi="Aptos"/>
        </w:rPr>
        <w:lastRenderedPageBreak/>
        <w:t>unused land (“the public domain”), streets and highways, rivers and coastal waters, and the means of delivering mail. […]</w:t>
      </w:r>
    </w:p>
    <w:p w:rsidR="00E42373" w:rsidRDefault="00E42373" w:rsidP="00CA0CBA">
      <w:pPr>
        <w:ind w:left="720"/>
        <w:jc w:val="both"/>
        <w:rPr>
          <w:rFonts w:ascii="Aptos" w:hAnsi="Aptos"/>
        </w:rPr>
      </w:pPr>
    </w:p>
    <w:p w:rsidR="00E42373" w:rsidRDefault="00E42373" w:rsidP="00CA0CBA">
      <w:pPr>
        <w:ind w:left="720"/>
        <w:jc w:val="both"/>
        <w:rPr>
          <w:rFonts w:ascii="Aptos" w:hAnsi="Aptos"/>
        </w:rPr>
      </w:pPr>
      <w:r>
        <w:rPr>
          <w:rFonts w:ascii="Aptos" w:hAnsi="Aptos"/>
        </w:rPr>
        <w:t>But, above all, the crucial monopoly is the State’s control of the use of violence: of the police and armed services, and of the courts – the locus of ultimate decision-making power in disputes over crimes and contracts. Control of the police and the army is particularly important in enforcing and assuring all of the State’s other powers, including the all-important power to extract i</w:t>
      </w:r>
      <w:r w:rsidR="00EF0FDA">
        <w:rPr>
          <w:rFonts w:ascii="Aptos" w:hAnsi="Aptos"/>
        </w:rPr>
        <w:t>t</w:t>
      </w:r>
      <w:r>
        <w:rPr>
          <w:rFonts w:ascii="Aptos" w:hAnsi="Aptos"/>
        </w:rPr>
        <w:t xml:space="preserve">s revenue by coercion. </w:t>
      </w:r>
      <w:r w:rsidR="00B50E08">
        <w:rPr>
          <w:rStyle w:val="FootnoteReference"/>
          <w:rFonts w:ascii="Aptos" w:hAnsi="Aptos"/>
        </w:rPr>
        <w:footnoteReference w:id="35"/>
      </w:r>
    </w:p>
    <w:p w:rsidR="00D81878" w:rsidRDefault="00D81878" w:rsidP="00CA0CBA">
      <w:pPr>
        <w:jc w:val="both"/>
        <w:rPr>
          <w:rFonts w:ascii="Aptos" w:hAnsi="Aptos"/>
        </w:rPr>
      </w:pPr>
    </w:p>
    <w:p w:rsidR="00D81878" w:rsidRDefault="00D81878" w:rsidP="00CA0CBA">
      <w:pPr>
        <w:jc w:val="both"/>
        <w:rPr>
          <w:rFonts w:ascii="Aptos" w:hAnsi="Aptos"/>
        </w:rPr>
      </w:pPr>
      <w:r>
        <w:rPr>
          <w:rFonts w:ascii="Aptos" w:hAnsi="Aptos"/>
        </w:rPr>
        <w:t xml:space="preserve">Rothbard regards the state as literally nothing more than an organized crime gang that has defeated all competition and is able to assert a unique and exclusive right to extract wealth from society by force. </w:t>
      </w:r>
      <w:r w:rsidR="00EB679A">
        <w:rPr>
          <w:rFonts w:ascii="Aptos" w:hAnsi="Aptos"/>
        </w:rPr>
        <w:t xml:space="preserve">Rothbard explicitly argued, following the Boston Anarchist, Lysander Spooner </w:t>
      </w:r>
      <w:r w:rsidR="00B50E08">
        <w:rPr>
          <w:rStyle w:val="FootnoteReference"/>
          <w:rFonts w:ascii="Aptos" w:hAnsi="Aptos"/>
        </w:rPr>
        <w:footnoteReference w:id="36"/>
      </w:r>
      <w:r w:rsidR="00EB679A">
        <w:rPr>
          <w:rFonts w:ascii="Aptos" w:hAnsi="Aptos"/>
        </w:rPr>
        <w:t>, that t</w:t>
      </w:r>
      <w:r>
        <w:rPr>
          <w:rFonts w:ascii="Aptos" w:hAnsi="Aptos"/>
        </w:rPr>
        <w:t xml:space="preserve">axation is both large-scale theft in and of itself, </w:t>
      </w:r>
      <w:r>
        <w:rPr>
          <w:rFonts w:ascii="Aptos" w:hAnsi="Aptos"/>
          <w:i/>
          <w:iCs/>
        </w:rPr>
        <w:t>and</w:t>
      </w:r>
      <w:r>
        <w:rPr>
          <w:rFonts w:ascii="Aptos" w:hAnsi="Aptos"/>
        </w:rPr>
        <w:t xml:space="preserve"> a means by which other monopolies held by the state or its </w:t>
      </w:r>
      <w:r w:rsidR="00EB679A">
        <w:rPr>
          <w:rFonts w:ascii="Aptos" w:hAnsi="Aptos"/>
        </w:rPr>
        <w:t xml:space="preserve">nominally private sector </w:t>
      </w:r>
      <w:r>
        <w:rPr>
          <w:rFonts w:ascii="Aptos" w:hAnsi="Aptos"/>
        </w:rPr>
        <w:t xml:space="preserve">clients are held in place. The state’s monopoly on coercion is regarded as the root of all other monopoly </w:t>
      </w:r>
      <w:r w:rsidR="00B50E08">
        <w:rPr>
          <w:rStyle w:val="FootnoteReference"/>
          <w:rFonts w:ascii="Aptos" w:hAnsi="Aptos"/>
        </w:rPr>
        <w:footnoteReference w:id="37"/>
      </w:r>
      <w:r>
        <w:rPr>
          <w:rFonts w:ascii="Aptos" w:hAnsi="Aptos"/>
        </w:rPr>
        <w:t>. This is both a reflection of the American Individualist anarchist tradition</w:t>
      </w:r>
      <w:r w:rsidR="009A27F4">
        <w:rPr>
          <w:rFonts w:ascii="Aptos" w:hAnsi="Aptos"/>
        </w:rPr>
        <w:t xml:space="preserve"> </w:t>
      </w:r>
      <w:r w:rsidR="00B50E08">
        <w:rPr>
          <w:rStyle w:val="FootnoteReference"/>
          <w:rFonts w:ascii="Aptos" w:hAnsi="Aptos"/>
        </w:rPr>
        <w:footnoteReference w:id="38"/>
      </w:r>
      <w:r w:rsidR="009A27F4">
        <w:rPr>
          <w:rFonts w:ascii="Aptos" w:hAnsi="Aptos"/>
        </w:rPr>
        <w:t xml:space="preserve"> that would transmit it into contemporary libertarian </w:t>
      </w:r>
      <w:r>
        <w:rPr>
          <w:rFonts w:ascii="Aptos" w:hAnsi="Aptos"/>
        </w:rPr>
        <w:t>belief</w:t>
      </w:r>
      <w:r w:rsidR="009A27F4">
        <w:rPr>
          <w:rFonts w:ascii="Aptos" w:hAnsi="Aptos"/>
        </w:rPr>
        <w:t xml:space="preserve">s about the impossibility of </w:t>
      </w:r>
      <w:r w:rsidR="003B3173">
        <w:rPr>
          <w:rFonts w:ascii="Aptos" w:hAnsi="Aptos"/>
        </w:rPr>
        <w:t xml:space="preserve">durable </w:t>
      </w:r>
      <w:r w:rsidR="009A27F4">
        <w:rPr>
          <w:rFonts w:ascii="Aptos" w:hAnsi="Aptos"/>
        </w:rPr>
        <w:t>monopoly without</w:t>
      </w:r>
      <w:r>
        <w:rPr>
          <w:rFonts w:ascii="Aptos" w:hAnsi="Aptos"/>
        </w:rPr>
        <w:t xml:space="preserve"> </w:t>
      </w:r>
      <w:r w:rsidR="009A27F4">
        <w:rPr>
          <w:rFonts w:ascii="Aptos" w:hAnsi="Aptos"/>
        </w:rPr>
        <w:t>coercive protection of incumbents from competition through privileged legislation and regulation</w:t>
      </w:r>
      <w:r w:rsidR="00ED0349">
        <w:rPr>
          <w:rFonts w:ascii="Aptos" w:hAnsi="Aptos"/>
        </w:rPr>
        <w:t xml:space="preserve"> </w:t>
      </w:r>
      <w:r w:rsidR="00B50E08">
        <w:rPr>
          <w:rStyle w:val="FootnoteReference"/>
          <w:rFonts w:ascii="Aptos" w:hAnsi="Aptos"/>
        </w:rPr>
        <w:footnoteReference w:id="39"/>
      </w:r>
      <w:r w:rsidR="003B3173">
        <w:rPr>
          <w:rStyle w:val="FootnoteReference"/>
          <w:rFonts w:ascii="Aptos" w:hAnsi="Aptos"/>
        </w:rPr>
        <w:footnoteReference w:id="40"/>
      </w:r>
      <w:r w:rsidR="00ED0349">
        <w:rPr>
          <w:rFonts w:ascii="Aptos" w:hAnsi="Aptos"/>
        </w:rPr>
        <w:t xml:space="preserve"> </w:t>
      </w:r>
      <w:r w:rsidR="009A27F4">
        <w:rPr>
          <w:rFonts w:ascii="Aptos" w:hAnsi="Aptos"/>
        </w:rPr>
        <w:t xml:space="preserve"> </w:t>
      </w:r>
      <w:r w:rsidR="00ED0349">
        <w:rPr>
          <w:rFonts w:ascii="Aptos" w:hAnsi="Aptos"/>
        </w:rPr>
        <w:t xml:space="preserve">In the left-libertarian extreme, this implies that truly free markets would be dominated by much smaller and flatter business </w:t>
      </w:r>
      <w:proofErr w:type="spellStart"/>
      <w:r w:rsidR="00ED0349">
        <w:rPr>
          <w:rFonts w:ascii="Aptos" w:hAnsi="Aptos"/>
        </w:rPr>
        <w:t>organisations</w:t>
      </w:r>
      <w:proofErr w:type="spellEnd"/>
      <w:r w:rsidR="00ED0349">
        <w:rPr>
          <w:rFonts w:ascii="Aptos" w:hAnsi="Aptos"/>
        </w:rPr>
        <w:t xml:space="preserve"> </w:t>
      </w:r>
      <w:r w:rsidR="00B50E08">
        <w:rPr>
          <w:rStyle w:val="FootnoteReference"/>
          <w:rFonts w:ascii="Aptos" w:hAnsi="Aptos"/>
        </w:rPr>
        <w:footnoteReference w:id="41"/>
      </w:r>
      <w:r w:rsidR="00ED0349">
        <w:rPr>
          <w:rFonts w:ascii="Aptos" w:hAnsi="Aptos"/>
        </w:rPr>
        <w:t xml:space="preserve">. It has even formed the basis of a libertarian theory of class in which the state and its coercive monopoly functions as the hinge of other interlocking forms of social power </w:t>
      </w:r>
      <w:r w:rsidR="00B50E08">
        <w:rPr>
          <w:rStyle w:val="FootnoteReference"/>
          <w:rFonts w:ascii="Aptos" w:hAnsi="Aptos"/>
        </w:rPr>
        <w:footnoteReference w:id="42"/>
      </w:r>
      <w:r w:rsidR="00EB679A">
        <w:rPr>
          <w:rFonts w:ascii="Aptos" w:hAnsi="Aptos"/>
        </w:rPr>
        <w:t>.</w:t>
      </w:r>
    </w:p>
    <w:p w:rsidR="00970317" w:rsidRDefault="00EB679A" w:rsidP="00CA0CBA">
      <w:pPr>
        <w:jc w:val="both"/>
        <w:rPr>
          <w:rFonts w:ascii="Aptos" w:hAnsi="Aptos"/>
        </w:rPr>
      </w:pPr>
      <w:r>
        <w:rPr>
          <w:rFonts w:ascii="Aptos" w:hAnsi="Aptos"/>
        </w:rPr>
        <w:tab/>
        <w:t xml:space="preserve">The </w:t>
      </w:r>
      <w:r w:rsidR="00970317">
        <w:rPr>
          <w:rFonts w:ascii="Aptos" w:hAnsi="Aptos"/>
        </w:rPr>
        <w:t>idea</w:t>
      </w:r>
      <w:r>
        <w:rPr>
          <w:rFonts w:ascii="Aptos" w:hAnsi="Aptos"/>
        </w:rPr>
        <w:t xml:space="preserve"> that the state </w:t>
      </w:r>
      <w:r w:rsidR="00970317">
        <w:rPr>
          <w:rFonts w:ascii="Aptos" w:hAnsi="Aptos"/>
        </w:rPr>
        <w:t xml:space="preserve">may be justified in its use of coercion on the basis that it </w:t>
      </w:r>
      <w:r>
        <w:rPr>
          <w:rFonts w:ascii="Aptos" w:hAnsi="Aptos"/>
        </w:rPr>
        <w:t xml:space="preserve">offers something to the public at large in the form of security and dispute resolution, Rothbard regards </w:t>
      </w:r>
      <w:r w:rsidR="00970317">
        <w:rPr>
          <w:rFonts w:ascii="Aptos" w:hAnsi="Aptos"/>
        </w:rPr>
        <w:t xml:space="preserve">this </w:t>
      </w:r>
      <w:r>
        <w:rPr>
          <w:rFonts w:ascii="Aptos" w:hAnsi="Aptos"/>
        </w:rPr>
        <w:t>as insufficient. Insufficient because the mere rendering of services is insufficient to justify the extraction of payment. Only consent can justify the taking of a person’s property.</w:t>
      </w:r>
      <w:r w:rsidR="00970317">
        <w:rPr>
          <w:rFonts w:ascii="Aptos" w:hAnsi="Aptos"/>
        </w:rPr>
        <w:t xml:space="preserve"> He is unimpressed by arguments based on the “public goods problem” </w:t>
      </w:r>
      <w:r w:rsidR="00970317">
        <w:rPr>
          <w:rFonts w:ascii="Aptos" w:hAnsi="Aptos"/>
        </w:rPr>
        <w:lastRenderedPageBreak/>
        <w:t>because they assume that people value the provision of public goods despite manifestly not consenting to receipt of them nor to contribute to their funding.</w:t>
      </w:r>
    </w:p>
    <w:p w:rsidR="006A5DB3" w:rsidRDefault="00B44699" w:rsidP="00CA0CBA">
      <w:pPr>
        <w:jc w:val="both"/>
        <w:rPr>
          <w:rFonts w:ascii="Aptos" w:hAnsi="Aptos"/>
        </w:rPr>
      </w:pPr>
      <w:r>
        <w:rPr>
          <w:rFonts w:ascii="Aptos" w:hAnsi="Aptos"/>
        </w:rPr>
        <w:tab/>
        <w:t xml:space="preserve">Rothbard considers </w:t>
      </w:r>
      <w:r w:rsidR="00EF0FDA">
        <w:rPr>
          <w:rFonts w:ascii="Aptos" w:hAnsi="Aptos"/>
        </w:rPr>
        <w:t>the “</w:t>
      </w:r>
      <w:r>
        <w:rPr>
          <w:rFonts w:ascii="Aptos" w:hAnsi="Aptos"/>
        </w:rPr>
        <w:t>the public goods arguments</w:t>
      </w:r>
      <w:r w:rsidR="00EF0FDA">
        <w:rPr>
          <w:rFonts w:ascii="Aptos" w:hAnsi="Aptos"/>
        </w:rPr>
        <w:t>”</w:t>
      </w:r>
      <w:r>
        <w:rPr>
          <w:rFonts w:ascii="Aptos" w:hAnsi="Aptos"/>
        </w:rPr>
        <w:t xml:space="preserve"> </w:t>
      </w:r>
      <w:r w:rsidR="00EF0FDA">
        <w:rPr>
          <w:rFonts w:ascii="Aptos" w:hAnsi="Aptos"/>
        </w:rPr>
        <w:t>for the rationale of coerced taxation</w:t>
      </w:r>
      <w:r w:rsidR="00EF2FAD">
        <w:rPr>
          <w:rFonts w:ascii="Aptos" w:hAnsi="Aptos"/>
        </w:rPr>
        <w:t xml:space="preserve"> that comes from economics</w:t>
      </w:r>
      <w:r w:rsidR="00EF0FDA">
        <w:rPr>
          <w:rFonts w:ascii="Aptos" w:hAnsi="Aptos"/>
        </w:rPr>
        <w:t>.</w:t>
      </w:r>
      <w:r w:rsidR="003F2A6B">
        <w:rPr>
          <w:rFonts w:ascii="Aptos" w:hAnsi="Aptos"/>
        </w:rPr>
        <w:t xml:space="preserve"> </w:t>
      </w:r>
      <w:r w:rsidR="00B50E08">
        <w:rPr>
          <w:rStyle w:val="FootnoteReference"/>
          <w:rFonts w:ascii="Aptos" w:hAnsi="Aptos"/>
        </w:rPr>
        <w:footnoteReference w:id="43"/>
      </w:r>
      <w:r w:rsidR="003F2A6B">
        <w:rPr>
          <w:rFonts w:ascii="Aptos" w:hAnsi="Aptos"/>
        </w:rPr>
        <w:t xml:space="preserve"> </w:t>
      </w:r>
      <w:r w:rsidR="00EF0FDA">
        <w:rPr>
          <w:rFonts w:ascii="Aptos" w:hAnsi="Aptos"/>
        </w:rPr>
        <w:t xml:space="preserve"> </w:t>
      </w:r>
      <w:proofErr w:type="gramStart"/>
      <w:r w:rsidR="00EF0FDA">
        <w:rPr>
          <w:rFonts w:ascii="Aptos" w:hAnsi="Aptos"/>
        </w:rPr>
        <w:t>So</w:t>
      </w:r>
      <w:proofErr w:type="gramEnd"/>
      <w:r w:rsidR="00EF0FDA">
        <w:rPr>
          <w:rFonts w:ascii="Aptos" w:hAnsi="Aptos"/>
        </w:rPr>
        <w:t xml:space="preserve"> the argument goes, the provision of </w:t>
      </w:r>
      <w:proofErr w:type="spellStart"/>
      <w:r w:rsidR="00EF0FDA">
        <w:rPr>
          <w:rFonts w:ascii="Aptos" w:hAnsi="Aptos"/>
        </w:rPr>
        <w:t>generalised</w:t>
      </w:r>
      <w:proofErr w:type="spellEnd"/>
      <w:r w:rsidR="00EF0FDA">
        <w:rPr>
          <w:rFonts w:ascii="Aptos" w:hAnsi="Aptos"/>
        </w:rPr>
        <w:t xml:space="preserve"> security is something that benefits all (indeed, protects their very natural rights), but given that provision does not meaningfully diminish in quality of one person chooses not to contribute to it, each individual is </w:t>
      </w:r>
      <w:proofErr w:type="spellStart"/>
      <w:r w:rsidR="00EF0FDA">
        <w:rPr>
          <w:rFonts w:ascii="Aptos" w:hAnsi="Aptos"/>
        </w:rPr>
        <w:t>incentivised</w:t>
      </w:r>
      <w:proofErr w:type="spellEnd"/>
      <w:r w:rsidR="00EF0FDA">
        <w:rPr>
          <w:rFonts w:ascii="Aptos" w:hAnsi="Aptos"/>
        </w:rPr>
        <w:t xml:space="preserve"> to free-ride on the contributions of everyone else. When everyone tries to free-ride, however, provision is meaningfully undermined. Everyone presumptively would prefer adequate security to not paying their fair share, they only abstain from contributing because they do not want to “be a sucker” upon whom others get to free-ride. Therefore, it makes sense for the payment to be forced in order to ensure adequate provision. People presumptively prefer the payment to be forcibly extracted from them and everyone else to a state of affairs in which it is voluntary and security is underprovided. </w:t>
      </w:r>
    </w:p>
    <w:p w:rsidR="006A5DB3" w:rsidRDefault="006A5DB3" w:rsidP="00CA0CBA">
      <w:pPr>
        <w:ind w:firstLine="360"/>
        <w:jc w:val="both"/>
        <w:rPr>
          <w:rFonts w:ascii="Aptos" w:hAnsi="Aptos"/>
        </w:rPr>
      </w:pPr>
      <w:r>
        <w:rPr>
          <w:rFonts w:ascii="Aptos" w:hAnsi="Aptos"/>
        </w:rPr>
        <w:t xml:space="preserve">The claim of the public goods argument is that if a set of persons </w:t>
      </w:r>
      <w:r>
        <w:rPr>
          <w:rFonts w:ascii="Aptos" w:hAnsi="Aptos"/>
          <w:i/>
          <w:iCs/>
        </w:rPr>
        <w:t xml:space="preserve">A, </w:t>
      </w:r>
      <w:proofErr w:type="gramStart"/>
      <w:r>
        <w:rPr>
          <w:rFonts w:ascii="Aptos" w:hAnsi="Aptos"/>
          <w:i/>
          <w:iCs/>
        </w:rPr>
        <w:t>B,…</w:t>
      </w:r>
      <w:proofErr w:type="gramEnd"/>
      <w:r>
        <w:rPr>
          <w:rFonts w:ascii="Aptos" w:hAnsi="Aptos"/>
          <w:i/>
          <w:iCs/>
        </w:rPr>
        <w:t xml:space="preserve">N </w:t>
      </w:r>
      <w:r>
        <w:rPr>
          <w:rFonts w:ascii="Aptos" w:hAnsi="Aptos"/>
        </w:rPr>
        <w:t>would be willing to pay P for a certain quantity of a good Q, but in a world in which they have the following options:</w:t>
      </w:r>
    </w:p>
    <w:p w:rsidR="006A5DB3" w:rsidRDefault="006A5DB3" w:rsidP="00CA0CBA">
      <w:pPr>
        <w:jc w:val="both"/>
        <w:rPr>
          <w:rFonts w:ascii="Aptos" w:hAnsi="Aptos"/>
        </w:rPr>
      </w:pPr>
    </w:p>
    <w:p w:rsidR="006A5DB3" w:rsidRDefault="006A5DB3" w:rsidP="00CA0CBA">
      <w:pPr>
        <w:pStyle w:val="ListParagraph"/>
        <w:numPr>
          <w:ilvl w:val="0"/>
          <w:numId w:val="1"/>
        </w:numPr>
        <w:jc w:val="both"/>
        <w:rPr>
          <w:rFonts w:ascii="Aptos" w:hAnsi="Aptos"/>
        </w:rPr>
      </w:pPr>
      <w:r w:rsidRPr="006A5DB3">
        <w:rPr>
          <w:rFonts w:ascii="Aptos" w:hAnsi="Aptos"/>
        </w:rPr>
        <w:t>Either: Q-1 where 1 is value of their contribution, for the price of 0 rather than the price of P; or</w:t>
      </w:r>
      <w:r>
        <w:rPr>
          <w:rFonts w:ascii="Aptos" w:hAnsi="Aptos"/>
        </w:rPr>
        <w:t>,</w:t>
      </w:r>
      <w:r w:rsidRPr="006A5DB3">
        <w:rPr>
          <w:rFonts w:ascii="Aptos" w:hAnsi="Aptos"/>
        </w:rPr>
        <w:t xml:space="preserve"> getting 0 of the good for a price of 0</w:t>
      </w:r>
    </w:p>
    <w:p w:rsidR="006A5DB3" w:rsidRDefault="006A5DB3" w:rsidP="00CA0CBA">
      <w:pPr>
        <w:pStyle w:val="ListParagraph"/>
        <w:numPr>
          <w:ilvl w:val="0"/>
          <w:numId w:val="1"/>
        </w:numPr>
        <w:jc w:val="both"/>
        <w:rPr>
          <w:rFonts w:ascii="Aptos" w:hAnsi="Aptos"/>
        </w:rPr>
      </w:pPr>
      <w:r>
        <w:rPr>
          <w:rFonts w:ascii="Aptos" w:hAnsi="Aptos"/>
        </w:rPr>
        <w:t>Paying P for a quantity of the good less than Q,</w:t>
      </w:r>
    </w:p>
    <w:p w:rsidR="006A5DB3" w:rsidRDefault="006A5DB3" w:rsidP="00CA0CBA">
      <w:pPr>
        <w:jc w:val="both"/>
        <w:rPr>
          <w:rFonts w:ascii="Aptos" w:hAnsi="Aptos"/>
        </w:rPr>
      </w:pPr>
    </w:p>
    <w:p w:rsidR="006A5DB3" w:rsidRDefault="006A5DB3" w:rsidP="00CA0CBA">
      <w:pPr>
        <w:jc w:val="both"/>
        <w:rPr>
          <w:rFonts w:ascii="Aptos" w:hAnsi="Aptos"/>
        </w:rPr>
      </w:pPr>
      <w:r>
        <w:rPr>
          <w:rFonts w:ascii="Aptos" w:hAnsi="Aptos"/>
        </w:rPr>
        <w:t>That a sufficient number will opt for 1 such they end up getting closed to nothing in exchange for almost none of them paying. The public goods argument says that we can change the options the people face if we can guarantee a connection between paying P and getting the quantity of the good Q by forcing all to pay. Rothbard finds this argument unpersuasive.</w:t>
      </w:r>
    </w:p>
    <w:p w:rsidR="002C3CE0" w:rsidRDefault="006A5DB3" w:rsidP="00CA0CBA">
      <w:pPr>
        <w:jc w:val="both"/>
        <w:rPr>
          <w:rFonts w:ascii="Aptos" w:hAnsi="Aptos"/>
        </w:rPr>
      </w:pPr>
      <w:r>
        <w:rPr>
          <w:rFonts w:ascii="Aptos" w:hAnsi="Aptos"/>
        </w:rPr>
        <w:tab/>
        <w:t>Firstly,</w:t>
      </w:r>
      <w:r w:rsidRPr="006A5DB3">
        <w:rPr>
          <w:rFonts w:ascii="Aptos" w:hAnsi="Aptos"/>
        </w:rPr>
        <w:t xml:space="preserve"> </w:t>
      </w:r>
      <w:r>
        <w:rPr>
          <w:rFonts w:ascii="Aptos" w:hAnsi="Aptos"/>
        </w:rPr>
        <w:t>Rothbard makes the epistemic claim that we cannot know counterfactual preferences about a person’s willingness-to-pay in order to generate the schema above (even if we could be sure in reality that we could set the tax rate and level of provision perfectly to match these counterfactual preferences). T</w:t>
      </w:r>
      <w:r w:rsidR="00EF0FDA">
        <w:rPr>
          <w:rFonts w:ascii="Aptos" w:hAnsi="Aptos"/>
        </w:rPr>
        <w:t xml:space="preserve">hat a person prefers a particular quantity of a good or service to a particular sum of money can only be inferred from their actually choosing to pay that sum of money for that particular good or service. Rothbard argues that economic preferences are not mere, internal psychological states but rather are implicit in and revealed by </w:t>
      </w:r>
      <w:r w:rsidR="00EF0FDA">
        <w:rPr>
          <w:rFonts w:ascii="Aptos" w:hAnsi="Aptos"/>
          <w:i/>
          <w:iCs/>
        </w:rPr>
        <w:t>action</w:t>
      </w:r>
      <w:r w:rsidR="003F2A6B">
        <w:rPr>
          <w:rFonts w:ascii="Aptos" w:hAnsi="Aptos"/>
        </w:rPr>
        <w:t xml:space="preserve">. </w:t>
      </w:r>
      <w:r w:rsidR="00B50E08">
        <w:rPr>
          <w:rStyle w:val="FootnoteReference"/>
          <w:rFonts w:ascii="Aptos" w:hAnsi="Aptos"/>
        </w:rPr>
        <w:footnoteReference w:id="44"/>
      </w:r>
      <w:r w:rsidR="003F2A6B">
        <w:rPr>
          <w:rFonts w:ascii="Aptos" w:hAnsi="Aptos"/>
        </w:rPr>
        <w:t xml:space="preserve"> The very fact that payment is coerced breaks down the relationship between willingness to pay and the demonstrable value of the public good</w:t>
      </w:r>
      <w:r w:rsidR="00F10F22">
        <w:rPr>
          <w:rFonts w:ascii="Aptos" w:hAnsi="Aptos"/>
        </w:rPr>
        <w:t>.</w:t>
      </w:r>
      <w:r>
        <w:rPr>
          <w:rFonts w:ascii="Aptos" w:hAnsi="Aptos"/>
        </w:rPr>
        <w:t xml:space="preserve"> This </w:t>
      </w:r>
      <w:r>
        <w:rPr>
          <w:rFonts w:ascii="Aptos" w:hAnsi="Aptos"/>
        </w:rPr>
        <w:lastRenderedPageBreak/>
        <w:t>is a controversially strong application of the “praxeological” foundations of economics that as Bryan Caplan has pointed out prevents us from even drawing supply and demand curves since they depend upon the possibility of</w:t>
      </w:r>
      <w:r w:rsidR="002C3CE0">
        <w:rPr>
          <w:rFonts w:ascii="Aptos" w:hAnsi="Aptos"/>
        </w:rPr>
        <w:t xml:space="preserve"> positing cardinal utility and of counterfactual willingness to pay. </w:t>
      </w:r>
      <w:r w:rsidR="00B50E08">
        <w:rPr>
          <w:rStyle w:val="FootnoteReference"/>
          <w:rFonts w:ascii="Aptos" w:hAnsi="Aptos"/>
        </w:rPr>
        <w:footnoteReference w:id="45"/>
      </w:r>
      <w:r w:rsidR="002C3CE0">
        <w:rPr>
          <w:rFonts w:ascii="Aptos" w:hAnsi="Aptos"/>
        </w:rPr>
        <w:t xml:space="preserve"> His rather radical economic objection goes hand-in-hand, however with a more modest ethical objection: that fact that a person would prefer hypothetical trade over an actually available does not justify </w:t>
      </w:r>
      <w:r w:rsidR="002C3CE0" w:rsidRPr="00EF2FAD">
        <w:rPr>
          <w:rFonts w:ascii="Aptos" w:hAnsi="Aptos"/>
          <w:i/>
          <w:iCs/>
        </w:rPr>
        <w:t>coercing</w:t>
      </w:r>
      <w:r w:rsidR="002C3CE0">
        <w:rPr>
          <w:rFonts w:ascii="Aptos" w:hAnsi="Aptos"/>
        </w:rPr>
        <w:t xml:space="preserve"> others in order to make that trade possible</w:t>
      </w:r>
      <w:r w:rsidR="00EF2FAD">
        <w:rPr>
          <w:rFonts w:ascii="Aptos" w:hAnsi="Aptos"/>
        </w:rPr>
        <w:t>.</w:t>
      </w:r>
    </w:p>
    <w:p w:rsidR="00EF2FAD" w:rsidRDefault="00EF2FAD" w:rsidP="00CA0CBA">
      <w:pPr>
        <w:jc w:val="both"/>
        <w:rPr>
          <w:rFonts w:ascii="Aptos" w:hAnsi="Aptos"/>
        </w:rPr>
      </w:pPr>
      <w:r>
        <w:rPr>
          <w:rFonts w:ascii="Aptos" w:hAnsi="Aptos"/>
        </w:rPr>
        <w:tab/>
        <w:t xml:space="preserve">Rothbard also considers the arguments made within social contract theory that come from political philosophy – which enter the dialectic at this stage. The coercion of some people to make possible a trade that another would prefer is reciprocal in nature. It is not merely that </w:t>
      </w:r>
      <w:r>
        <w:rPr>
          <w:rFonts w:ascii="Aptos" w:hAnsi="Aptos"/>
          <w:i/>
          <w:iCs/>
        </w:rPr>
        <w:t xml:space="preserve">B, </w:t>
      </w:r>
      <w:proofErr w:type="gramStart"/>
      <w:r>
        <w:rPr>
          <w:rFonts w:ascii="Aptos" w:hAnsi="Aptos"/>
          <w:i/>
          <w:iCs/>
        </w:rPr>
        <w:t>C,</w:t>
      </w:r>
      <w:r>
        <w:rPr>
          <w:rFonts w:ascii="Aptos" w:hAnsi="Aptos"/>
        </w:rPr>
        <w:t>…</w:t>
      </w:r>
      <w:proofErr w:type="gramEnd"/>
      <w:r>
        <w:rPr>
          <w:rFonts w:ascii="Aptos" w:hAnsi="Aptos"/>
          <w:i/>
          <w:iCs/>
        </w:rPr>
        <w:t>N</w:t>
      </w:r>
      <w:r>
        <w:rPr>
          <w:rFonts w:ascii="Aptos" w:hAnsi="Aptos"/>
        </w:rPr>
        <w:t xml:space="preserve"> are coerced so that </w:t>
      </w:r>
      <w:r>
        <w:rPr>
          <w:rFonts w:ascii="Aptos" w:hAnsi="Aptos"/>
          <w:i/>
          <w:iCs/>
        </w:rPr>
        <w:t>A</w:t>
      </w:r>
      <w:r>
        <w:rPr>
          <w:rFonts w:ascii="Aptos" w:hAnsi="Aptos"/>
        </w:rPr>
        <w:t xml:space="preserve"> can enter into a more beneficial exchange, but also that </w:t>
      </w:r>
      <w:r>
        <w:rPr>
          <w:rFonts w:ascii="Aptos" w:hAnsi="Aptos"/>
          <w:i/>
          <w:iCs/>
        </w:rPr>
        <w:t>A</w:t>
      </w:r>
      <w:r>
        <w:rPr>
          <w:rFonts w:ascii="Aptos" w:hAnsi="Aptos"/>
        </w:rPr>
        <w:t xml:space="preserve"> is coerced so that </w:t>
      </w:r>
      <w:r>
        <w:rPr>
          <w:rFonts w:ascii="Aptos" w:hAnsi="Aptos"/>
          <w:i/>
          <w:iCs/>
        </w:rPr>
        <w:t>B</w:t>
      </w:r>
      <w:r>
        <w:rPr>
          <w:rFonts w:ascii="Aptos" w:hAnsi="Aptos"/>
        </w:rPr>
        <w:t xml:space="preserve">, </w:t>
      </w:r>
      <w:proofErr w:type="gramStart"/>
      <w:r>
        <w:rPr>
          <w:rFonts w:ascii="Aptos" w:hAnsi="Aptos"/>
          <w:i/>
          <w:iCs/>
        </w:rPr>
        <w:t>C</w:t>
      </w:r>
      <w:r>
        <w:rPr>
          <w:rFonts w:ascii="Aptos" w:hAnsi="Aptos"/>
        </w:rPr>
        <w:t>,…</w:t>
      </w:r>
      <w:proofErr w:type="gramEnd"/>
      <w:r>
        <w:rPr>
          <w:rFonts w:ascii="Aptos" w:hAnsi="Aptos"/>
          <w:i/>
          <w:iCs/>
        </w:rPr>
        <w:t>N</w:t>
      </w:r>
      <w:r>
        <w:rPr>
          <w:rFonts w:ascii="Aptos" w:hAnsi="Aptos"/>
        </w:rPr>
        <w:t xml:space="preserve"> can enter into a more beneficial exchange. They would all presumably prefer not to be coerced, but they all prefer that all be coerced than none of them be coerced</w:t>
      </w:r>
      <w:r w:rsidR="00481F5B">
        <w:rPr>
          <w:rFonts w:ascii="Aptos" w:hAnsi="Aptos"/>
        </w:rPr>
        <w:t xml:space="preserve">, because they prefer to be able to pay P for Q, </w:t>
      </w:r>
      <w:proofErr w:type="gramStart"/>
      <w:r w:rsidR="00481F5B">
        <w:rPr>
          <w:rFonts w:ascii="Aptos" w:hAnsi="Aptos"/>
        </w:rPr>
        <w:t>than</w:t>
      </w:r>
      <w:proofErr w:type="gramEnd"/>
      <w:r w:rsidR="00481F5B">
        <w:rPr>
          <w:rFonts w:ascii="Aptos" w:hAnsi="Aptos"/>
        </w:rPr>
        <w:t xml:space="preserve"> pay nothing and get nothing. Due to a coordination problem, however, they all need to be forced, and know that others will be forced, in order to get the </w:t>
      </w:r>
      <w:proofErr w:type="gramStart"/>
      <w:r w:rsidR="00481F5B">
        <w:rPr>
          <w:rFonts w:ascii="Aptos" w:hAnsi="Aptos"/>
        </w:rPr>
        <w:t>outcome</w:t>
      </w:r>
      <w:proofErr w:type="gramEnd"/>
      <w:r w:rsidR="00481F5B">
        <w:rPr>
          <w:rFonts w:ascii="Aptos" w:hAnsi="Aptos"/>
        </w:rPr>
        <w:t xml:space="preserve"> they all prefer. Social contract theory says that even though we do not all actually consent, due to the coordination problem, the situation is </w:t>
      </w:r>
      <w:proofErr w:type="spellStart"/>
      <w:r w:rsidR="00481F5B">
        <w:rPr>
          <w:rFonts w:ascii="Aptos" w:hAnsi="Aptos"/>
        </w:rPr>
        <w:t>licenced</w:t>
      </w:r>
      <w:proofErr w:type="spellEnd"/>
      <w:r w:rsidR="00481F5B">
        <w:rPr>
          <w:rFonts w:ascii="Aptos" w:hAnsi="Aptos"/>
        </w:rPr>
        <w:t xml:space="preserve"> as if we all consented because we </w:t>
      </w:r>
      <w:r w:rsidR="00481F5B">
        <w:rPr>
          <w:rFonts w:ascii="Aptos" w:hAnsi="Aptos"/>
          <w:i/>
          <w:iCs/>
        </w:rPr>
        <w:t>would</w:t>
      </w:r>
      <w:r w:rsidR="00481F5B">
        <w:rPr>
          <w:rFonts w:ascii="Aptos" w:hAnsi="Aptos"/>
        </w:rPr>
        <w:t xml:space="preserve"> consent if we could be assured that all others would. “Hypothetical consent” is sufficient to justify the provision of the public good by taxation.</w:t>
      </w:r>
    </w:p>
    <w:p w:rsidR="00F5112D" w:rsidRDefault="00481F5B" w:rsidP="00CA0CBA">
      <w:pPr>
        <w:jc w:val="both"/>
        <w:rPr>
          <w:rFonts w:ascii="Aptos" w:hAnsi="Aptos"/>
        </w:rPr>
      </w:pPr>
      <w:r>
        <w:rPr>
          <w:rFonts w:ascii="Aptos" w:hAnsi="Aptos"/>
        </w:rPr>
        <w:tab/>
        <w:t xml:space="preserve">Rothbard is critical of the idea of hypothetical consent as it is deployed in social contract theory insofar is it teats consent as something that can be given </w:t>
      </w:r>
      <w:r w:rsidRPr="00481F5B">
        <w:rPr>
          <w:rFonts w:ascii="Aptos" w:hAnsi="Aptos"/>
          <w:i/>
          <w:iCs/>
        </w:rPr>
        <w:t>vicariously</w:t>
      </w:r>
      <w:r>
        <w:rPr>
          <w:rFonts w:ascii="Aptos" w:hAnsi="Aptos"/>
        </w:rPr>
        <w:t xml:space="preserve">. What is morally relevant is whether one in fact consents to some treatment or not; if they do, they prefer that treatment to being left alone, if they do not, then they prefer to be left alone. If the payment is indeed coercively extracted, then these people are treated wrongfully. The fact that we are all mutually subject to coercion and all mutually benefit from it is insufficient to justify the overriding of our right to consent before the fruits of our </w:t>
      </w:r>
      <w:proofErr w:type="spellStart"/>
      <w:r>
        <w:rPr>
          <w:rFonts w:ascii="Aptos" w:hAnsi="Aptos"/>
        </w:rPr>
        <w:t>labour</w:t>
      </w:r>
      <w:proofErr w:type="spellEnd"/>
      <w:r>
        <w:rPr>
          <w:rFonts w:ascii="Aptos" w:hAnsi="Aptos"/>
        </w:rPr>
        <w:t xml:space="preserve"> are taken away from us. </w:t>
      </w:r>
      <w:r w:rsidR="007C37A0">
        <w:rPr>
          <w:rFonts w:ascii="Aptos" w:hAnsi="Aptos"/>
        </w:rPr>
        <w:t xml:space="preserve">Rothbard regards such arguments as </w:t>
      </w:r>
      <w:r w:rsidR="003B3173">
        <w:rPr>
          <w:rFonts w:ascii="Aptos" w:hAnsi="Aptos"/>
        </w:rPr>
        <w:t>Orwellian insofar as</w:t>
      </w:r>
      <w:r w:rsidR="007C37A0">
        <w:rPr>
          <w:rFonts w:ascii="Aptos" w:hAnsi="Aptos"/>
        </w:rPr>
        <w:t xml:space="preserve"> they require us to deny our experience of being coerced by state agents to do things we have not consented to</w:t>
      </w:r>
      <w:r w:rsidR="003B3173">
        <w:rPr>
          <w:rFonts w:ascii="Aptos" w:hAnsi="Aptos"/>
        </w:rPr>
        <w:t>,</w:t>
      </w:r>
      <w:r w:rsidR="007C37A0">
        <w:rPr>
          <w:rFonts w:ascii="Aptos" w:hAnsi="Aptos"/>
        </w:rPr>
        <w:t xml:space="preserve"> and</w:t>
      </w:r>
      <w:r w:rsidR="003B3173">
        <w:rPr>
          <w:rFonts w:ascii="Aptos" w:hAnsi="Aptos"/>
        </w:rPr>
        <w:t xml:space="preserve"> to</w:t>
      </w:r>
      <w:r w:rsidR="007C37A0">
        <w:rPr>
          <w:rFonts w:ascii="Aptos" w:hAnsi="Aptos"/>
        </w:rPr>
        <w:t xml:space="preserve"> call these actions </w:t>
      </w:r>
      <w:r w:rsidR="007C37A0" w:rsidRPr="003B3173">
        <w:rPr>
          <w:rFonts w:ascii="Aptos" w:hAnsi="Aptos"/>
          <w:i/>
          <w:iCs/>
        </w:rPr>
        <w:t>voluntary</w:t>
      </w:r>
      <w:r w:rsidR="003B3173" w:rsidRPr="003B3173">
        <w:rPr>
          <w:rFonts w:ascii="Aptos" w:hAnsi="Aptos"/>
        </w:rPr>
        <w:t>,</w:t>
      </w:r>
      <w:r w:rsidR="003B3173">
        <w:rPr>
          <w:rFonts w:ascii="Aptos" w:hAnsi="Aptos"/>
          <w:i/>
          <w:iCs/>
        </w:rPr>
        <w:t xml:space="preserve"> </w:t>
      </w:r>
      <w:r w:rsidR="003B3173">
        <w:rPr>
          <w:rFonts w:ascii="Aptos" w:hAnsi="Aptos"/>
        </w:rPr>
        <w:t>even</w:t>
      </w:r>
      <w:r w:rsidR="007C37A0">
        <w:rPr>
          <w:rFonts w:ascii="Aptos" w:hAnsi="Aptos"/>
        </w:rPr>
        <w:t xml:space="preserve"> at the barrel of a gun </w:t>
      </w:r>
      <w:r w:rsidR="00B50E08">
        <w:rPr>
          <w:rStyle w:val="FootnoteReference"/>
          <w:rFonts w:ascii="Aptos" w:hAnsi="Aptos"/>
        </w:rPr>
        <w:footnoteReference w:id="46"/>
      </w:r>
      <w:r w:rsidR="007C37A0">
        <w:rPr>
          <w:rFonts w:ascii="Aptos" w:hAnsi="Aptos"/>
        </w:rPr>
        <w:t>.</w:t>
      </w:r>
      <w:r w:rsidR="003B3173">
        <w:rPr>
          <w:rFonts w:ascii="Aptos" w:hAnsi="Aptos"/>
        </w:rPr>
        <w:t xml:space="preserve"> Indeed it is through such double-speak that the state is able to ideologically sustain perceptions of it legitimacy and hence its existence.</w:t>
      </w:r>
      <w:r w:rsidR="007C37A0">
        <w:rPr>
          <w:rFonts w:ascii="Aptos" w:hAnsi="Aptos"/>
        </w:rPr>
        <w:t xml:space="preserve"> In denying that consent is the kind of thing that can be given vicariously, he joins other internal critics of Locke’s “tacit consent” theory of government legitimacy </w:t>
      </w:r>
      <w:r w:rsidR="00B50E08">
        <w:rPr>
          <w:rStyle w:val="FootnoteReference"/>
          <w:rFonts w:ascii="Aptos" w:hAnsi="Aptos"/>
        </w:rPr>
        <w:footnoteReference w:id="47"/>
      </w:r>
      <w:r w:rsidR="00F5112D">
        <w:rPr>
          <w:rFonts w:ascii="Aptos" w:hAnsi="Aptos"/>
        </w:rPr>
        <w:t>.</w:t>
      </w:r>
    </w:p>
    <w:p w:rsidR="004C3BF8" w:rsidRPr="004C3BF8" w:rsidRDefault="004C3BF8" w:rsidP="00CA0CBA">
      <w:pPr>
        <w:jc w:val="both"/>
        <w:rPr>
          <w:rFonts w:ascii="Aptos" w:hAnsi="Aptos"/>
        </w:rPr>
      </w:pPr>
    </w:p>
    <w:p w:rsidR="00C758A5" w:rsidRDefault="00C758A5" w:rsidP="00CA0CBA">
      <w:pPr>
        <w:jc w:val="both"/>
        <w:rPr>
          <w:rFonts w:ascii="Aptos" w:hAnsi="Aptos"/>
        </w:rPr>
      </w:pPr>
    </w:p>
    <w:p w:rsidR="004C3BF8" w:rsidRDefault="00A1191B" w:rsidP="00CA0CBA">
      <w:pPr>
        <w:jc w:val="both"/>
        <w:rPr>
          <w:rFonts w:ascii="Aptos" w:hAnsi="Aptos"/>
          <w:b/>
          <w:bCs/>
        </w:rPr>
      </w:pPr>
      <w:r>
        <w:rPr>
          <w:rFonts w:ascii="Aptos" w:hAnsi="Aptos"/>
          <w:b/>
          <w:bCs/>
        </w:rPr>
        <w:lastRenderedPageBreak/>
        <w:t>Anarcho-Capitalism</w:t>
      </w:r>
    </w:p>
    <w:p w:rsidR="00F5112D" w:rsidRDefault="00F5112D" w:rsidP="00CA0CBA">
      <w:pPr>
        <w:jc w:val="both"/>
        <w:rPr>
          <w:rFonts w:ascii="Aptos" w:hAnsi="Aptos"/>
        </w:rPr>
      </w:pPr>
      <w:r>
        <w:rPr>
          <w:rFonts w:ascii="Aptos" w:hAnsi="Aptos"/>
        </w:rPr>
        <w:t xml:space="preserve">Lurking in the background of Rothbard’s strong moral objection to arguments in </w:t>
      </w:r>
      <w:proofErr w:type="spellStart"/>
      <w:r>
        <w:rPr>
          <w:rFonts w:ascii="Aptos" w:hAnsi="Aptos"/>
        </w:rPr>
        <w:t>favour</w:t>
      </w:r>
      <w:proofErr w:type="spellEnd"/>
      <w:r>
        <w:rPr>
          <w:rFonts w:ascii="Aptos" w:hAnsi="Aptos"/>
        </w:rPr>
        <w:t xml:space="preserve"> of the legitimacy of the state’s monopoly on coercion, and unique and exclusive right to extract tax revenue, is an empirical belief that all the purported goods of government can be obtained by voluntary means.</w:t>
      </w:r>
      <w:r w:rsidR="001E740C">
        <w:rPr>
          <w:rFonts w:ascii="Aptos" w:hAnsi="Aptos"/>
        </w:rPr>
        <w:t xml:space="preserve"> Rothbard believed not that societies do not need to </w:t>
      </w:r>
      <w:proofErr w:type="spellStart"/>
      <w:r w:rsidR="001E740C">
        <w:rPr>
          <w:rFonts w:ascii="Aptos" w:hAnsi="Aptos"/>
        </w:rPr>
        <w:t>organise</w:t>
      </w:r>
      <w:proofErr w:type="spellEnd"/>
      <w:r w:rsidR="001E740C">
        <w:rPr>
          <w:rFonts w:ascii="Aptos" w:hAnsi="Aptos"/>
        </w:rPr>
        <w:t xml:space="preserve"> for the security of their rights; he believed that they could do so completely voluntarily. The enforcement of rights – like all other goods and services – could be provided competitively rather than monopolistically. The very structural bedrock of free markets – a system of property rights and contracts – could be provided through the same logic of the free market itself.</w:t>
      </w:r>
    </w:p>
    <w:p w:rsidR="00A3317E" w:rsidRDefault="008D2844" w:rsidP="00CA0CBA">
      <w:pPr>
        <w:jc w:val="both"/>
        <w:rPr>
          <w:rFonts w:ascii="Aptos" w:hAnsi="Aptos"/>
        </w:rPr>
      </w:pPr>
      <w:r>
        <w:rPr>
          <w:rFonts w:ascii="Aptos" w:hAnsi="Aptos"/>
        </w:rPr>
        <w:tab/>
        <w:t>Drawing on the work of an otherwise somewhat obscure Belgian economist, G</w:t>
      </w:r>
      <w:r w:rsidR="001E740C">
        <w:rPr>
          <w:rFonts w:ascii="Aptos" w:hAnsi="Aptos"/>
        </w:rPr>
        <w:t>ustave de Molinari</w:t>
      </w:r>
      <w:r>
        <w:rPr>
          <w:rFonts w:ascii="Aptos" w:hAnsi="Aptos"/>
        </w:rPr>
        <w:t xml:space="preserve">, Rothbard argues that if people voluntarily contracted for security services, those with a comparative advantage in such services would compete with one another to offer the best services for the lowest price </w:t>
      </w:r>
      <w:r w:rsidR="00B50E08">
        <w:rPr>
          <w:rStyle w:val="FootnoteReference"/>
          <w:rFonts w:ascii="Aptos" w:hAnsi="Aptos"/>
        </w:rPr>
        <w:footnoteReference w:id="48"/>
      </w:r>
      <w:r>
        <w:rPr>
          <w:rFonts w:ascii="Aptos" w:hAnsi="Aptos"/>
        </w:rPr>
        <w:t>. Security agencies could resolve disputes between its own clients and impose judgements and penalties on guilty parties in virtue of their clients</w:t>
      </w:r>
      <w:r w:rsidR="00020475">
        <w:rPr>
          <w:rFonts w:ascii="Aptos" w:hAnsi="Aptos"/>
        </w:rPr>
        <w:t>’</w:t>
      </w:r>
      <w:r>
        <w:rPr>
          <w:rFonts w:ascii="Aptos" w:hAnsi="Aptos"/>
        </w:rPr>
        <w:t xml:space="preserve"> antecedent consent. However, </w:t>
      </w:r>
      <w:r w:rsidR="008560BC">
        <w:rPr>
          <w:rFonts w:ascii="Aptos" w:hAnsi="Aptos"/>
        </w:rPr>
        <w:t>clients</w:t>
      </w:r>
      <w:r>
        <w:rPr>
          <w:rFonts w:ascii="Aptos" w:hAnsi="Aptos"/>
        </w:rPr>
        <w:t xml:space="preserve"> would also want security against the potential rights-violations of those who were contracted with different security agencies. </w:t>
      </w:r>
      <w:r w:rsidR="008560BC">
        <w:rPr>
          <w:rFonts w:ascii="Aptos" w:hAnsi="Aptos"/>
        </w:rPr>
        <w:t>In anticipation of the large costs and uncertainties of physical conflict with other agencies in order to protect their clients</w:t>
      </w:r>
      <w:r w:rsidR="00020475">
        <w:rPr>
          <w:rFonts w:ascii="Aptos" w:hAnsi="Aptos"/>
        </w:rPr>
        <w:t xml:space="preserve">, security agencies would make agreements on procedures for establishing who was in the wrong that were impartial (neither agency would consent to procedures that were biased against their own clients). Consenting to the terms and conditions of one’s security agency would include consenting to the outcomes of all those procedures that are agreed between their agency and others. </w:t>
      </w:r>
      <w:proofErr w:type="gramStart"/>
      <w:r w:rsidR="00020475">
        <w:rPr>
          <w:rFonts w:ascii="Aptos" w:hAnsi="Aptos"/>
        </w:rPr>
        <w:t>So</w:t>
      </w:r>
      <w:proofErr w:type="gramEnd"/>
      <w:r w:rsidR="00020475">
        <w:rPr>
          <w:rFonts w:ascii="Aptos" w:hAnsi="Aptos"/>
        </w:rPr>
        <w:t xml:space="preserve"> if it turned out they were in the wrong, their agency would do them no wrong by imposing a sanction upon them in accordance with its state</w:t>
      </w:r>
      <w:r w:rsidR="005E6FC6">
        <w:rPr>
          <w:rFonts w:ascii="Aptos" w:hAnsi="Aptos"/>
        </w:rPr>
        <w:t>d</w:t>
      </w:r>
      <w:r w:rsidR="00020475">
        <w:rPr>
          <w:rFonts w:ascii="Aptos" w:hAnsi="Aptos"/>
        </w:rPr>
        <w:t xml:space="preserve"> procedures.</w:t>
      </w:r>
      <w:r w:rsidR="005E6FC6">
        <w:rPr>
          <w:rFonts w:ascii="Aptos" w:hAnsi="Aptos"/>
        </w:rPr>
        <w:t xml:space="preserve"> Where security agencies cannot agree about how procedures should apply in a </w:t>
      </w:r>
      <w:proofErr w:type="spellStart"/>
      <w:r w:rsidR="005E6FC6">
        <w:rPr>
          <w:rFonts w:ascii="Aptos" w:hAnsi="Aptos"/>
        </w:rPr>
        <w:t>give</w:t>
      </w:r>
      <w:proofErr w:type="spellEnd"/>
      <w:r w:rsidR="005E6FC6">
        <w:rPr>
          <w:rFonts w:ascii="Aptos" w:hAnsi="Aptos"/>
        </w:rPr>
        <w:t xml:space="preserve"> case, they can invoke the judgement of a third-party arbitrator (again, contracted with in advance as part of their agreement with one another). Defiance of such judgements would send a clear signal to the market that they are untrustworthy, and no other security agencies would enter into agreements with them. Being a member of a pariah security agency would not carry much value because one would not be able to find many willing trading partners. Hence, the market would sift out bad actors. Many other libertarians have developed Rothbard’s ideas in this vein </w:t>
      </w:r>
      <w:r w:rsidR="00B50E08">
        <w:rPr>
          <w:rStyle w:val="FootnoteReference"/>
          <w:rFonts w:ascii="Aptos" w:hAnsi="Aptos"/>
        </w:rPr>
        <w:footnoteReference w:id="49"/>
      </w:r>
      <w:r w:rsidR="005E6FC6">
        <w:rPr>
          <w:rFonts w:ascii="Aptos" w:hAnsi="Aptos"/>
        </w:rPr>
        <w:t xml:space="preserve">; arguing for the important disciplining role that insurance </w:t>
      </w:r>
      <w:r w:rsidR="005E6FC6">
        <w:rPr>
          <w:rFonts w:ascii="Aptos" w:hAnsi="Aptos"/>
        </w:rPr>
        <w:lastRenderedPageBreak/>
        <w:t xml:space="preserve">would play on the conduct of security agents </w:t>
      </w:r>
      <w:r w:rsidR="00B50E08">
        <w:rPr>
          <w:rStyle w:val="FootnoteReference"/>
          <w:rFonts w:ascii="Aptos" w:hAnsi="Aptos"/>
        </w:rPr>
        <w:footnoteReference w:id="50"/>
      </w:r>
      <w:r w:rsidR="005E6FC6">
        <w:rPr>
          <w:rFonts w:ascii="Aptos" w:hAnsi="Aptos"/>
        </w:rPr>
        <w:t xml:space="preserve">; and for the superiority of the market in applying checks to power, over the internal check that constitutional </w:t>
      </w:r>
      <w:proofErr w:type="spellStart"/>
      <w:r w:rsidR="005E6FC6">
        <w:rPr>
          <w:rFonts w:ascii="Aptos" w:hAnsi="Aptos"/>
        </w:rPr>
        <w:t>stateshave</w:t>
      </w:r>
      <w:proofErr w:type="spellEnd"/>
      <w:r w:rsidR="005E6FC6">
        <w:rPr>
          <w:rFonts w:ascii="Aptos" w:hAnsi="Aptos"/>
        </w:rPr>
        <w:t xml:space="preserve"> </w:t>
      </w:r>
      <w:r w:rsidR="00B50E08">
        <w:rPr>
          <w:rStyle w:val="FootnoteReference"/>
          <w:rFonts w:ascii="Aptos" w:hAnsi="Aptos"/>
        </w:rPr>
        <w:footnoteReference w:id="51"/>
      </w:r>
      <w:r w:rsidR="005E6FC6">
        <w:rPr>
          <w:rFonts w:ascii="Aptos" w:hAnsi="Aptos"/>
        </w:rPr>
        <w:t>.</w:t>
      </w:r>
    </w:p>
    <w:p w:rsidR="00A3317E" w:rsidRDefault="001E740C" w:rsidP="00CA0CBA">
      <w:pPr>
        <w:ind w:firstLine="720"/>
        <w:jc w:val="both"/>
        <w:rPr>
          <w:rFonts w:ascii="Aptos" w:hAnsi="Aptos"/>
        </w:rPr>
      </w:pPr>
      <w:r>
        <w:rPr>
          <w:rFonts w:ascii="Aptos" w:hAnsi="Aptos"/>
        </w:rPr>
        <w:t>Nozick argued</w:t>
      </w:r>
      <w:r w:rsidR="00A3317E">
        <w:rPr>
          <w:rFonts w:ascii="Aptos" w:hAnsi="Aptos"/>
        </w:rPr>
        <w:t xml:space="preserve"> that a state could actually emerge from anarcho-capitalism without violating anyone’s rights</w:t>
      </w:r>
      <w:r w:rsidR="008B29B3">
        <w:rPr>
          <w:rFonts w:ascii="Aptos" w:hAnsi="Aptos"/>
        </w:rPr>
        <w:t xml:space="preserve"> </w:t>
      </w:r>
      <w:r w:rsidR="00B50E08">
        <w:rPr>
          <w:rStyle w:val="FootnoteReference"/>
          <w:rFonts w:ascii="Aptos" w:hAnsi="Aptos"/>
        </w:rPr>
        <w:footnoteReference w:id="52"/>
      </w:r>
      <w:r w:rsidR="00A3317E">
        <w:rPr>
          <w:rFonts w:ascii="Aptos" w:hAnsi="Aptos"/>
        </w:rPr>
        <w:t xml:space="preserve">. Nozick believed that network effects meant it as likely that a security agency would become a natural monopoly. The value of membership of an agency increased with the volume of its membership because it reduced transaction costs for an increasing number of possible trading partners. Such a security agency would not be a state, though, because it would not have the right to extract taxes from non-members nor would it have any right to prevent insurgent security agencies from entering the market. Or wouldn’t it? Nozick argues that uncertainty over what new procedures insurgent security agencies might use imposes a significant risk upon its own clients that it is duty bound to protect. It is therefore permitted – even obligated – to pre-emptively coercively prohibit such entrance into the market. This means that once it becomes a </w:t>
      </w:r>
      <w:r w:rsidR="00A3317E">
        <w:rPr>
          <w:rFonts w:ascii="Aptos" w:hAnsi="Aptos"/>
          <w:i/>
          <w:iCs/>
        </w:rPr>
        <w:t>de facto</w:t>
      </w:r>
      <w:r w:rsidR="00A3317E">
        <w:rPr>
          <w:rFonts w:ascii="Aptos" w:hAnsi="Aptos"/>
        </w:rPr>
        <w:t xml:space="preserve"> monopoly to being a </w:t>
      </w:r>
      <w:r w:rsidR="00A3317E">
        <w:rPr>
          <w:rFonts w:ascii="Aptos" w:hAnsi="Aptos"/>
          <w:i/>
          <w:iCs/>
        </w:rPr>
        <w:t>de jure</w:t>
      </w:r>
      <w:r w:rsidR="00A3317E">
        <w:rPr>
          <w:rFonts w:ascii="Aptos" w:hAnsi="Aptos"/>
        </w:rPr>
        <w:t xml:space="preserve"> monopoly</w:t>
      </w:r>
      <w:r w:rsidR="008B29B3">
        <w:rPr>
          <w:rFonts w:ascii="Aptos" w:hAnsi="Aptos"/>
        </w:rPr>
        <w:t xml:space="preserve"> </w:t>
      </w:r>
      <w:r w:rsidR="00B50E08">
        <w:rPr>
          <w:rStyle w:val="FootnoteReference"/>
          <w:rFonts w:ascii="Aptos" w:hAnsi="Aptos"/>
        </w:rPr>
        <w:footnoteReference w:id="53"/>
      </w:r>
      <w:r w:rsidR="00CA0CBA">
        <w:rPr>
          <w:rFonts w:ascii="Aptos" w:hAnsi="Aptos"/>
        </w:rPr>
        <w:t>.</w:t>
      </w:r>
    </w:p>
    <w:p w:rsidR="00C758A5" w:rsidRPr="00B50E08" w:rsidRDefault="00CA0CBA" w:rsidP="00B50E08">
      <w:pPr>
        <w:ind w:firstLine="720"/>
        <w:jc w:val="both"/>
        <w:rPr>
          <w:rFonts w:ascii="Aptos" w:hAnsi="Aptos"/>
        </w:rPr>
      </w:pPr>
      <w:r>
        <w:rPr>
          <w:rFonts w:ascii="Aptos" w:hAnsi="Aptos"/>
        </w:rPr>
        <w:t xml:space="preserve">Rothbard read Nozick’s argument and rejected the claim that the dominant security agency could prohibit any new entrants on the basis that they might introduce risk. The only relevant fact is whether or not their procedures were objectively just. Rothbard did not engage deeply with the subtleties of Nozick’s treatment of risk that come in the previous chapter to his argument for the state. Possibly because he did not think the argument bore any relevance even if successful on his own terms. Just because a state </w:t>
      </w:r>
      <w:r>
        <w:rPr>
          <w:rFonts w:ascii="Aptos" w:hAnsi="Aptos"/>
          <w:i/>
          <w:iCs/>
        </w:rPr>
        <w:t>could</w:t>
      </w:r>
      <w:r>
        <w:rPr>
          <w:rFonts w:ascii="Aptos" w:hAnsi="Aptos"/>
        </w:rPr>
        <w:t xml:space="preserve"> emerge in this way without violating rights, no </w:t>
      </w:r>
      <w:r>
        <w:rPr>
          <w:rFonts w:ascii="Aptos" w:hAnsi="Aptos"/>
          <w:i/>
          <w:iCs/>
        </w:rPr>
        <w:t xml:space="preserve">actual </w:t>
      </w:r>
      <w:r>
        <w:rPr>
          <w:rFonts w:ascii="Aptos" w:hAnsi="Aptos"/>
        </w:rPr>
        <w:t>state ever has.</w:t>
      </w:r>
      <w:r w:rsidR="00B50E08">
        <w:rPr>
          <w:rStyle w:val="FootnoteReference"/>
          <w:rFonts w:ascii="Aptos" w:hAnsi="Aptos"/>
        </w:rPr>
        <w:footnoteReference w:id="54"/>
      </w:r>
    </w:p>
    <w:sectPr w:rsidR="00C758A5" w:rsidRPr="00B50E08">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43144" w:rsidRDefault="00443144" w:rsidP="00051A63">
      <w:pPr>
        <w:spacing w:line="240" w:lineRule="auto"/>
      </w:pPr>
      <w:r>
        <w:separator/>
      </w:r>
    </w:p>
  </w:endnote>
  <w:endnote w:type="continuationSeparator" w:id="0">
    <w:p w:rsidR="00443144" w:rsidRDefault="00443144" w:rsidP="00051A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1972600"/>
      <w:docPartObj>
        <w:docPartGallery w:val="Page Numbers (Bottom of Page)"/>
        <w:docPartUnique/>
      </w:docPartObj>
    </w:sdtPr>
    <w:sdtContent>
      <w:p w:rsidR="00051A63" w:rsidRDefault="00051A63" w:rsidP="006F46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051A63" w:rsidRDefault="00051A63" w:rsidP="00051A6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8900819"/>
      <w:docPartObj>
        <w:docPartGallery w:val="Page Numbers (Bottom of Page)"/>
        <w:docPartUnique/>
      </w:docPartObj>
    </w:sdtPr>
    <w:sdtContent>
      <w:p w:rsidR="00051A63" w:rsidRDefault="00051A63" w:rsidP="006F46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051A63" w:rsidRDefault="00051A63" w:rsidP="00051A6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43144" w:rsidRDefault="00443144" w:rsidP="00051A63">
      <w:pPr>
        <w:spacing w:line="240" w:lineRule="auto"/>
      </w:pPr>
      <w:r>
        <w:separator/>
      </w:r>
    </w:p>
  </w:footnote>
  <w:footnote w:type="continuationSeparator" w:id="0">
    <w:p w:rsidR="00443144" w:rsidRDefault="00443144" w:rsidP="00051A63">
      <w:pPr>
        <w:spacing w:line="240" w:lineRule="auto"/>
      </w:pPr>
      <w:r>
        <w:continuationSeparator/>
      </w:r>
    </w:p>
  </w:footnote>
  <w:footnote w:id="1">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{"citationID":"B74glxFp","properties":{"formattedCitation":"\\uc0\\u8216{}Anatomy of the State\\uc0\\u8217{}, in {\\i{}Egalitarianism as a Revolt Against Nature and Other Essays}, ed. Roy A. Childs (Libertarian Review Press, 1974); Murray N. Rothbard, {\\i{}The Ethics of Liberty} (New York University Press, 1998).","plainCitation":"‘Anatomy of the State’, in Egalitarianism as a Revolt Against Nature and Other Essays, ed. Roy A. Childs (Libertarian Review Press, 1974); Murray N. Rothbard, The Ethics of Liberty (New York University Press, 1998).","noteIndex":1},"citationItems":[{"id":1330,"uris":["http://zotero.org/users/6238250/items/HXN7MCAK"],"itemData":{"id":1330,"type":"chapter","container-title":"Egalitarianism as a Revolt Against Nature and Other Essays","publisher":"Libertarian Review Press","title":"Anatomy of the State","author":[{"family":"Rothbard","given":"Murray N."}],"editor":[{"family":"Childs","given":"Roy A."}],"issued":{"date-parts":[["1974"]]}},"suppress-author":true},{"id":108,"uris":["http://zotero.org/users/6238250/items/L2A34JC4"],"itemData":{"id":108,"type":"book","publisher":"New York University Press","publisher-place":"New York","title":"The Ethics of Liberty","author":[{"family":"Rothbard","given":"Murray N."}],"issued":{"date-parts":[["1998"]]}}}],"schema":"https://github.com/citation-style-language/schema/raw/master/csl-citation.json"} </w:instrText>
      </w:r>
      <w:r>
        <w:fldChar w:fldCharType="separate"/>
      </w:r>
      <w:r w:rsidRPr="00B50E08">
        <w:rPr>
          <w:rFonts w:ascii="Calibri" w:cs="Calibri"/>
          <w:kern w:val="0"/>
          <w:lang w:val="en-GB"/>
        </w:rPr>
        <w:t xml:space="preserve">‘Anatomy of the State’, in </w:t>
      </w:r>
      <w:r w:rsidRPr="00B50E08">
        <w:rPr>
          <w:rFonts w:ascii="Calibri" w:cs="Calibri"/>
          <w:i/>
          <w:iCs/>
          <w:kern w:val="0"/>
          <w:lang w:val="en-GB"/>
        </w:rPr>
        <w:t>Egalitarianism as a Revolt Against Nature and Other Essays</w:t>
      </w:r>
      <w:r w:rsidRPr="00B50E08">
        <w:rPr>
          <w:rFonts w:ascii="Calibri" w:cs="Calibri"/>
          <w:kern w:val="0"/>
          <w:lang w:val="en-GB"/>
        </w:rPr>
        <w:t xml:space="preserve">, ed. Roy A. Childs (Libertarian Review Press, 1974); Murray N. Rothbard, </w:t>
      </w:r>
      <w:r w:rsidRPr="00B50E08">
        <w:rPr>
          <w:rFonts w:ascii="Calibri" w:cs="Calibri"/>
          <w:i/>
          <w:iCs/>
          <w:kern w:val="0"/>
          <w:lang w:val="en-GB"/>
        </w:rPr>
        <w:t>The Ethics of Liberty</w:t>
      </w:r>
      <w:r w:rsidRPr="00B50E08">
        <w:rPr>
          <w:rFonts w:ascii="Calibri" w:cs="Calibri"/>
          <w:kern w:val="0"/>
          <w:lang w:val="en-GB"/>
        </w:rPr>
        <w:t xml:space="preserve"> (New York University Press, 1998).</w:t>
      </w:r>
      <w:r>
        <w:fldChar w:fldCharType="end"/>
      </w:r>
    </w:p>
  </w:footnote>
  <w:footnote w:id="2">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{"citationID":"Sn5tpq16","properties":{"formattedCitation":"{\\i{}Man, Economy, and State} (William Volker Fund &amp; D. Van Nostrand, 1962); Murray N. Rothbard, {\\i{}Power and Market} (Institute for Humane Studies, 1970).","plainCitation":"Man, Economy, and State (William Volker Fund &amp; D. Van Nostrand, 1962); Murray N. Rothbard, Power and Market (Institute for Humane Studies, 1970).","noteIndex":2},"citationItems":[{"id":1340,"uris":["http://zotero.org/users/6238250/items/LC6CVDHW"],"itemData":{"id":1340,"type":"book","publisher":"William Volker Fund &amp; D. Van Nostrand","title":"Man, Economy, and State","author":[{"family":"Rothbard","given":"Murray N."}],"issued":{"date-parts":[["1962"]]}},"suppress-author":true},{"id":1341,"uris":["http://zotero.org/users/6238250/items/ESMTKH6Q"],"itemData":{"id":1341,"type":"book","publisher":"Institute for Humane Studies","title":"Power and Market","author":[{"family":"Rothbard","given":"Murray N."}],"issued":{"date-parts":[["1970"]]}}}],"schema":"https://github.com/citation-style-language/schema/raw/master/csl-citation.json"} </w:instrText>
      </w:r>
      <w:r>
        <w:fldChar w:fldCharType="separate"/>
      </w:r>
      <w:r w:rsidRPr="00B50E08">
        <w:rPr>
          <w:rFonts w:ascii="Calibri" w:cs="Calibri"/>
          <w:i/>
          <w:iCs/>
          <w:kern w:val="0"/>
          <w:lang w:val="en-GB"/>
        </w:rPr>
        <w:t>Man, Economy, and State</w:t>
      </w:r>
      <w:r w:rsidRPr="00B50E08">
        <w:rPr>
          <w:rFonts w:ascii="Calibri" w:cs="Calibri"/>
          <w:kern w:val="0"/>
          <w:lang w:val="en-GB"/>
        </w:rPr>
        <w:t xml:space="preserve"> (William Volker Fund &amp; D. Van Nostrand, 1962); Murray N. Rothbard, </w:t>
      </w:r>
      <w:r w:rsidRPr="00B50E08">
        <w:rPr>
          <w:rFonts w:ascii="Calibri" w:cs="Calibri"/>
          <w:i/>
          <w:iCs/>
          <w:kern w:val="0"/>
          <w:lang w:val="en-GB"/>
        </w:rPr>
        <w:t>Power and Market</w:t>
      </w:r>
      <w:r w:rsidRPr="00B50E08">
        <w:rPr>
          <w:rFonts w:ascii="Calibri" w:cs="Calibri"/>
          <w:kern w:val="0"/>
          <w:lang w:val="en-GB"/>
        </w:rPr>
        <w:t xml:space="preserve"> (Institute for Humane Studies, 1970).</w:t>
      </w:r>
      <w:r>
        <w:fldChar w:fldCharType="end"/>
      </w:r>
    </w:p>
  </w:footnote>
  <w:footnote w:id="3">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{"citationID":"a5HpSnPF","properties":{"formattedCitation":"Roderick T. Long, \\uc0\\u8216{}Rothbard\\uc0\\u8217{}s \\uc0\\u8220{}Left and Right\\uc0\\u8221{}: Forty Years Later\\uc0\\u8217{}, paper presented at Austrian Scholars Conference, {\\i{}Rothbard Memorial Lecture}, 2006, https://www.panarchy.org/rodericklong/left.html.","plainCitation":"Roderick T. Long, ‘Rothbard’s “Left and Right”: Forty Years Later’, paper presented at Austrian Scholars Conference, Rothbard Memorial Lecture, 2006, https://www.panarchy.org/rodericklong/left.html.","noteIndex":3},"citationItems":[{"id":1342,"uris":["http://zotero.org/users/6238250/items/CEFN78WA"],"itemData":{"id":1342,"type":"paper-conference","container-title":"Rothbard Memorial Lecture","event-title":"Austrian Scholars Conference","publisher-place":"Auburn","title":"Rothbard's \"Left and Right\": Forty Years Later","URL":"https://www.panarchy.org/rodericklong/left.html","author":[{"family":"Long","given":"Roderick T."}],"issued":{"date-parts":[["2006"]]}}}],"schema":"https://github.com/citation-style-language/schema/raw/master/csl-citation.json"} </w:instrText>
      </w:r>
      <w:r>
        <w:fldChar w:fldCharType="separate"/>
      </w:r>
      <w:r w:rsidRPr="00B50E08">
        <w:rPr>
          <w:rFonts w:ascii="Calibri" w:cs="Calibri"/>
          <w:kern w:val="0"/>
          <w:lang w:val="en-GB"/>
        </w:rPr>
        <w:t xml:space="preserve">Roderick T. Long, ‘Rothbard’s “Left and Right”: Forty Years Later’, paper presented at Austrian Scholars Conference, </w:t>
      </w:r>
      <w:r w:rsidRPr="00B50E08">
        <w:rPr>
          <w:rFonts w:ascii="Calibri" w:cs="Calibri"/>
          <w:i/>
          <w:iCs/>
          <w:kern w:val="0"/>
          <w:lang w:val="en-GB"/>
        </w:rPr>
        <w:t>Rothbard Memorial Lecture</w:t>
      </w:r>
      <w:r w:rsidRPr="00B50E08">
        <w:rPr>
          <w:rFonts w:ascii="Calibri" w:cs="Calibri"/>
          <w:kern w:val="0"/>
          <w:lang w:val="en-GB"/>
        </w:rPr>
        <w:t>, 2006, https://www.panarchy.org/rodericklong/left.html.</w:t>
      </w:r>
      <w:r>
        <w:fldChar w:fldCharType="end"/>
      </w:r>
    </w:p>
  </w:footnote>
  <w:footnote w:id="4">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{"citationID":"fCvmM9Fy","properties":{"formattedCitation":"\\uc0\\u8216{}The Negro Revolution\\uc0\\u8217{}, {\\i{}New Individualist Review} 1, no. 1 (1961): 29\\uc0\\u8211{}37.","plainCitation":"‘The Negro Revolution’, New Individualist Review 1, no. 1 (1961): 29–37.","noteIndex":4},"citationItems":[{"id":1325,"uris":["http://zotero.org/users/6238250/items/M4TVD3BL"],"itemData":{"id":1325,"type":"article-journal","container-title":"New Individualist Review","issue":"1","page":"29-37","title":"The Negro Revolution","volume":"1","author":[{"family":"Rothbard","given":"Murray N."}],"issued":{"date-parts":[["1961"]]}},"suppress-author":true}],"schema":"https://github.com/citation-style-language/schema/raw/master/csl-citation.json"} </w:instrText>
      </w:r>
      <w:r>
        <w:fldChar w:fldCharType="separate"/>
      </w:r>
      <w:r w:rsidRPr="00B50E08">
        <w:rPr>
          <w:rFonts w:ascii="Calibri" w:cs="Calibri"/>
          <w:kern w:val="0"/>
          <w:lang w:val="en-GB"/>
        </w:rPr>
        <w:t xml:space="preserve">‘The Negro Revolution’, </w:t>
      </w:r>
      <w:r w:rsidRPr="00B50E08">
        <w:rPr>
          <w:rFonts w:ascii="Calibri" w:cs="Calibri"/>
          <w:i/>
          <w:iCs/>
          <w:kern w:val="0"/>
          <w:lang w:val="en-GB"/>
        </w:rPr>
        <w:t>New Individualist Review</w:t>
      </w:r>
      <w:r w:rsidRPr="00B50E08">
        <w:rPr>
          <w:rFonts w:ascii="Calibri" w:cs="Calibri"/>
          <w:kern w:val="0"/>
          <w:lang w:val="en-GB"/>
        </w:rPr>
        <w:t xml:space="preserve"> 1, no. 1 (1961): 29–37.</w:t>
      </w:r>
      <w:r>
        <w:fldChar w:fldCharType="end"/>
      </w:r>
    </w:p>
  </w:footnote>
  <w:footnote w:id="5">
    <w:p w:rsidR="00E1098D" w:rsidRPr="00E1098D" w:rsidRDefault="00E1098D">
      <w:pPr>
        <w:pStyle w:val="FootnoteText"/>
        <w:rPr>
          <w:lang w:val="en-GB"/>
        </w:rPr>
      </w:pPr>
      <w:r>
        <w:rPr>
          <w:rStyle w:val="FootnoteReference"/>
        </w:rPr>
        <w:footnoteRef/>
      </w:r>
      <w:r>
        <w:t xml:space="preserve"> </w:t>
      </w:r>
      <w:r>
        <w:rPr>
          <w:lang w:val="en-GB"/>
        </w:rPr>
        <w:t xml:space="preserve">Rothbard identified the Old Right with the cause of liberty </w:t>
      </w:r>
      <w:r>
        <w:rPr>
          <w:rFonts w:ascii="Aptos" w:hAnsi="Aptos"/>
        </w:rPr>
        <w:fldChar w:fldCharType="begin"/>
      </w:r>
      <w:r w:rsidR="00B50E08">
        <w:rPr>
          <w:rFonts w:ascii="Aptos" w:hAnsi="Aptos"/>
        </w:rPr>
        <w:instrText xml:space="preserve"> ADDIN ZOTERO_ITEM CSL_CITATION {"citationID":"QnevA0K7","properties":{"formattedCitation":"{\\i{}The Betrayal of the American Right}, ed. Thomas E. Woods (The Ludwig von Mises Institute, 2007).","plainCitation":"The Betrayal of the American Right, ed. Thomas E. Woods (The Ludwig von Mises Institute, 2007).","noteIndex":5},"citationItems":[{"id":1331,"uris":["http://zotero.org/users/6238250/items/SNJ8A2F6"],"itemData":{"id":1331,"type":"book","publisher":"The Ludwig von Mises Institute","publisher-place":"Auburn","title":"The Betrayal of the American Right","author":[{"family":"Rothbard","given":"Murray N."}],"editor":[{"family":"Woods","given":"Thomas E."}],"issued":{"date-parts":[["2007"]]}},"suppress-author":true}],"schema":"https://github.com/citation-style-language/schema/raw/master/csl-citation.json"} </w:instrText>
      </w:r>
      <w:r>
        <w:rPr>
          <w:rFonts w:ascii="Aptos" w:hAnsi="Aptos"/>
        </w:rPr>
        <w:fldChar w:fldCharType="separate"/>
      </w:r>
      <w:r w:rsidR="00B50E08" w:rsidRPr="00B50E08">
        <w:rPr>
          <w:rFonts w:ascii="Aptos" w:hAnsi="Aptos" w:cs="Times New Roman"/>
          <w:i/>
          <w:iCs/>
          <w:kern w:val="0"/>
          <w:lang w:val="en-GB"/>
        </w:rPr>
        <w:t>The Betrayal of the American Right</w:t>
      </w:r>
      <w:r w:rsidR="00B50E08" w:rsidRPr="00B50E08">
        <w:rPr>
          <w:rFonts w:ascii="Aptos" w:hAnsi="Aptos" w:cs="Times New Roman"/>
          <w:kern w:val="0"/>
          <w:lang w:val="en-GB"/>
        </w:rPr>
        <w:t>, ed. Thomas E. Woods (The Ludwig von Mises Institute, 2007).</w:t>
      </w:r>
      <w:r>
        <w:rPr>
          <w:rFonts w:ascii="Aptos" w:hAnsi="Aptos"/>
        </w:rPr>
        <w:fldChar w:fldCharType="end"/>
      </w:r>
    </w:p>
  </w:footnote>
  <w:footnote w:id="6">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{"citationID":"iui1Qblp","properties":{"formattedCitation":"\\uc0\\u8216{}Left and Right: The Prospects for Liberty\\uc0\\u8217{}, {\\i{}Left and Right} Spring (1965): 4\\uc0\\u8211{}22.","plainCitation":"‘Left and Right: The Prospects for Liberty’, Left and Right Spring (1965): 4–22.","noteIndex":6},"citationItems":[{"id":1328,"uris":["http://zotero.org/users/6238250/items/P27K5RSG"],"itemData":{"id":1328,"type":"article-journal","container-title":"Left and Right","page":"4-22","title":"Left and Right: The Prospects for Liberty","volume":"Spring","author":[{"family":"Rothbard","given":"Murray N."}],"issued":{"date-parts":[["1965"]]}},"suppress-author":true}],"schema":"https://github.com/citation-style-language/schema/raw/master/csl-citation.json"} </w:instrText>
      </w:r>
      <w:r>
        <w:fldChar w:fldCharType="separate"/>
      </w:r>
      <w:r w:rsidRPr="00B50E08">
        <w:rPr>
          <w:rFonts w:ascii="Calibri" w:cs="Calibri"/>
          <w:kern w:val="0"/>
          <w:lang w:val="en-GB"/>
        </w:rPr>
        <w:t xml:space="preserve">‘Left and Right: The Prospects for Liberty’, </w:t>
      </w:r>
      <w:r w:rsidRPr="00B50E08">
        <w:rPr>
          <w:rFonts w:ascii="Calibri" w:cs="Calibri"/>
          <w:i/>
          <w:iCs/>
          <w:kern w:val="0"/>
          <w:lang w:val="en-GB"/>
        </w:rPr>
        <w:t>Left and Right</w:t>
      </w:r>
      <w:r w:rsidRPr="00B50E08">
        <w:rPr>
          <w:rFonts w:ascii="Calibri" w:cs="Calibri"/>
          <w:kern w:val="0"/>
          <w:lang w:val="en-GB"/>
        </w:rPr>
        <w:t xml:space="preserve"> Spring (1965): 4–22.</w:t>
      </w:r>
      <w:r>
        <w:fldChar w:fldCharType="end"/>
      </w:r>
    </w:p>
  </w:footnote>
  <w:footnote w:id="7">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{"citationID":"UduMNX6h","properties":{"formattedCitation":"\\uc0\\u8216{}Confiscation and the Homestead Principle\\uc0\\u8217{}, {\\i{}The Libertarian Forum} 1, no. 6 (1969).","plainCitation":"‘Confiscation and the Homestead Principle’, The Libertarian Forum 1, no. 6 (1969).","noteIndex":7},"citationItems":[{"id":1326,"uris":["http://zotero.org/users/6238250/items/SJ974S47"],"itemData":{"id":1326,"type":"article-journal","container-title":"The Libertarian Forum","issue":"6","title":"Confiscation and the Homestead Principle","volume":"1","author":[{"family":"Rothbard","given":"Murray N."}],"issued":{"date-parts":[["1969"]]}},"suppress-author":true}],"schema":"https://github.com/citation-style-language/schema/raw/master/csl-citation.json"} </w:instrText>
      </w:r>
      <w:r>
        <w:fldChar w:fldCharType="separate"/>
      </w:r>
      <w:r w:rsidRPr="00B50E08">
        <w:rPr>
          <w:rFonts w:ascii="Calibri" w:cs="Calibri"/>
          <w:kern w:val="0"/>
          <w:lang w:val="en-GB"/>
        </w:rPr>
        <w:t xml:space="preserve">‘Confiscation and the Homestead Principle’, </w:t>
      </w:r>
      <w:r w:rsidRPr="00B50E08">
        <w:rPr>
          <w:rFonts w:ascii="Calibri" w:cs="Calibri"/>
          <w:i/>
          <w:iCs/>
          <w:kern w:val="0"/>
          <w:lang w:val="en-GB"/>
        </w:rPr>
        <w:t>The Libertarian Forum</w:t>
      </w:r>
      <w:r w:rsidRPr="00B50E08">
        <w:rPr>
          <w:rFonts w:ascii="Calibri" w:cs="Calibri"/>
          <w:kern w:val="0"/>
          <w:lang w:val="en-GB"/>
        </w:rPr>
        <w:t xml:space="preserve"> 1, no. 6 (1969).</w:t>
      </w:r>
      <w:r>
        <w:fldChar w:fldCharType="end"/>
      </w:r>
    </w:p>
  </w:footnote>
  <w:footnote w:id="8">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{"citationID":"xCFXT2AP","properties":{"formattedCitation":"{\\i{}The Triumph of Conservatism: A Reinterpretation of American History, 1900-1916} (The Free Press, 1963).","plainCitation":"The Triumph of Conservatism: A Reinterpretation of American History, 1900-1916 (The Free Press, 1963).","noteIndex":8},"citationItems":[{"id":1329,"uris":["http://zotero.org/users/6238250/items/CFXJWNP9"],"itemData":{"id":1329,"type":"book","publisher":"The Free Press","publisher-place":"New York City","title":"The Triumph of Conservatism: A Reinterpretation of American History, 1900-1916","author":[{"family":"Kolko","given":"Gabriel"}],"issued":{"date-parts":[["1963"]]}},"suppress-author":true}],"schema":"https://github.com/citation-style-language/schema/raw/master/csl-citation.json"} </w:instrText>
      </w:r>
      <w:r>
        <w:fldChar w:fldCharType="separate"/>
      </w:r>
      <w:r w:rsidRPr="00B50E08">
        <w:rPr>
          <w:rFonts w:ascii="Calibri" w:cs="Calibri"/>
          <w:i/>
          <w:iCs/>
          <w:kern w:val="0"/>
          <w:lang w:val="en-GB"/>
        </w:rPr>
        <w:t>The Triumph of Conservatism: A Reinterpretation of American History, 1900-1916</w:t>
      </w:r>
      <w:r w:rsidRPr="00B50E08">
        <w:rPr>
          <w:rFonts w:ascii="Calibri" w:cs="Calibri"/>
          <w:kern w:val="0"/>
          <w:lang w:val="en-GB"/>
        </w:rPr>
        <w:t xml:space="preserve"> (The Free Press, 1963).</w:t>
      </w:r>
      <w:r>
        <w:fldChar w:fldCharType="end"/>
      </w:r>
    </w:p>
  </w:footnote>
  <w:footnote w:id="9">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{"citationID":"dVK3YDrd","properties":{"formattedCitation":"Ronald Radosh and Murray N. Rothbard, {\\i{}A New History of Leviathan: Essays on the Rise of the American Coprorate State} (Dutton, 1972).","plainCitation":"Ronald Radosh and Murray N. Rothbard, A New History of Leviathan: Essays on the Rise of the American Coprorate State (Dutton, 1972).","noteIndex":9},"citationItems":[{"id":1327,"uris":["http://zotero.org/users/6238250/items/CKFEVR2X"],"itemData":{"id":1327,"type":"book","publisher":"Dutton","publisher-place":"New York","title":"A New History of Leviathan: Essays on the Rise of the American Coprorate State","author":[{"family":"Radosh","given":"Ronald"},{"family":"Rothbard","given":"Murray N."}],"issued":{"date-parts":[["1972"]]}}}],"schema":"https://github.com/citation-style-language/schema/raw/master/csl-citation.json"} </w:instrText>
      </w:r>
      <w:r>
        <w:fldChar w:fldCharType="separate"/>
      </w:r>
      <w:r w:rsidRPr="00B50E08">
        <w:rPr>
          <w:rFonts w:ascii="Calibri" w:cs="Calibri"/>
          <w:kern w:val="0"/>
          <w:lang w:val="en-GB"/>
        </w:rPr>
        <w:t xml:space="preserve">Ronald Radosh and Murray N. Rothbard, </w:t>
      </w:r>
      <w:r w:rsidRPr="00B50E08">
        <w:rPr>
          <w:rFonts w:ascii="Calibri" w:cs="Calibri"/>
          <w:i/>
          <w:iCs/>
          <w:kern w:val="0"/>
          <w:lang w:val="en-GB"/>
        </w:rPr>
        <w:t xml:space="preserve">A New History of Leviathan: Essays on the Rise of the American </w:t>
      </w:r>
      <w:r w:rsidRPr="00B50E08">
        <w:rPr>
          <w:rFonts w:ascii="Calibri" w:cs="Calibri"/>
          <w:i/>
          <w:iCs/>
          <w:kern w:val="0"/>
          <w:lang w:val="en-GB"/>
        </w:rPr>
        <w:t>Corporate</w:t>
      </w:r>
      <w:r w:rsidRPr="00B50E08">
        <w:rPr>
          <w:rFonts w:ascii="Calibri" w:cs="Calibri"/>
          <w:i/>
          <w:iCs/>
          <w:kern w:val="0"/>
          <w:lang w:val="en-GB"/>
        </w:rPr>
        <w:t xml:space="preserve"> State</w:t>
      </w:r>
      <w:r w:rsidRPr="00B50E08">
        <w:rPr>
          <w:rFonts w:ascii="Calibri" w:cs="Calibri"/>
          <w:kern w:val="0"/>
          <w:lang w:val="en-GB"/>
        </w:rPr>
        <w:t xml:space="preserve"> (Dutton, 1972).</w:t>
      </w:r>
      <w:r>
        <w:fldChar w:fldCharType="end"/>
      </w:r>
    </w:p>
  </w:footnote>
  <w:footnote w:id="10">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{"citationID":"1Bk5clOy","properties":{"formattedCitation":"\\uc0\\u8216{}Anatomy of the State\\uc0\\u8217{}.","plainCitation":"‘Anatomy of the State’.","noteIndex":10},"citationItems":[{"id":1330,"uris":["http://zotero.org/users/6238250/items/HXN7MCAK"],"itemData":{"id":1330,"type":"chapter","container-title":"Egalitarianism as a Revolt Against Nature and Other Essays","publisher":"Libertarian Review Press","title":"Anatomy of the State","author":[{"family":"Rothbard","given":"Murray N."}],"editor":[{"family":"Childs","given":"Roy A."}],"issued":{"date-parts":[["1974"]]}},"suppress-author":true}],"schema":"https://github.com/citation-style-language/schema/raw/master/csl-citation.json"} </w:instrText>
      </w:r>
      <w:r>
        <w:fldChar w:fldCharType="separate"/>
      </w:r>
      <w:r w:rsidRPr="00B50E08">
        <w:rPr>
          <w:rFonts w:ascii="Calibri" w:cs="Calibri"/>
          <w:kern w:val="0"/>
          <w:lang w:val="en-GB"/>
        </w:rPr>
        <w:t>‘Anatomy of the State’.</w:t>
      </w:r>
      <w:r>
        <w:fldChar w:fldCharType="end"/>
      </w:r>
    </w:p>
  </w:footnote>
  <w:footnote w:id="11">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{"citationID":"ZVtKVIBW","properties":{"formattedCitation":"Murray N. Rothbard, \\uc0\\u8216{}Right-Wing Populism: A Strategy for the Paleo Movement\\uc0\\u8217{}, {\\i{}The Rothbard-Rockwell Report} January (1992): 5\\uc0\\u8211{}14.","plainCitation":"Murray N. Rothbard, ‘Right-Wing Populism: A Strategy for the Paleo Movement’, The Rothbard-Rockwell Report January (1992): 5–14.","noteIndex":11},"citationItems":[{"id":1336,"uris":["http://zotero.org/users/6238250/items/78DLNANH"],"itemData":{"id":1336,"type":"article-journal","container-title":"The Rothbard-Rockwell Report","page":"5-14","title":"Right-Wing Populism: A Strategy for the Paleo Movement","volume":"January","author":[{"family":"Rothbard","given":"Murray N."}],"issued":{"date-parts":[["1992"]]}}}],"schema":"https://github.com/citation-style-language/schema/raw/master/csl-citation.json"} </w:instrText>
      </w:r>
      <w:r>
        <w:fldChar w:fldCharType="separate"/>
      </w:r>
      <w:r w:rsidRPr="00B50E08">
        <w:rPr>
          <w:rFonts w:ascii="Calibri" w:cs="Calibri"/>
          <w:kern w:val="0"/>
          <w:lang w:val="en-GB"/>
        </w:rPr>
        <w:t xml:space="preserve">Murray N. Rothbard, ‘Right-Wing Populism: A Strategy for the Paleo Movement’, </w:t>
      </w:r>
      <w:r w:rsidRPr="00B50E08">
        <w:rPr>
          <w:rFonts w:ascii="Calibri" w:cs="Calibri"/>
          <w:i/>
          <w:iCs/>
          <w:kern w:val="0"/>
          <w:lang w:val="en-GB"/>
        </w:rPr>
        <w:t>The Rothbard-Rockwell Report</w:t>
      </w:r>
      <w:r w:rsidRPr="00B50E08">
        <w:rPr>
          <w:rFonts w:ascii="Calibri" w:cs="Calibri"/>
          <w:kern w:val="0"/>
          <w:lang w:val="en-GB"/>
        </w:rPr>
        <w:t xml:space="preserve"> January (1992): 5–14.</w:t>
      </w:r>
      <w:r>
        <w:fldChar w:fldCharType="end"/>
      </w:r>
    </w:p>
  </w:footnote>
  <w:footnote w:id="12">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{"citationID":"8PWDg1Dd","properties":{"formattedCitation":"\\uc0\\u8216{}The Negro Revolution\\uc0\\u8217{}.","plainCitation":"‘The Negro Revolution’.","noteIndex":12},"citationItems":[{"id":1325,"uris":["http://zotero.org/users/6238250/items/M4TVD3BL"],"itemData":{"id":1325,"type":"article-journal","container-title":"New Individualist Review","issue":"1","page":"29-37","title":"The Negro Revolution","volume":"1","author":[{"family":"Rothbard","given":"Murray N."}],"issued":{"date-parts":[["1961"]]}},"suppress-author":true}],"schema":"https://github.com/citation-style-language/schema/raw/master/csl-citation.json"} </w:instrText>
      </w:r>
      <w:r>
        <w:fldChar w:fldCharType="separate"/>
      </w:r>
      <w:r w:rsidRPr="00B50E08">
        <w:rPr>
          <w:rFonts w:ascii="Calibri" w:cs="Calibri"/>
          <w:kern w:val="0"/>
          <w:lang w:val="en-GB"/>
        </w:rPr>
        <w:t>‘The Negro Revolution’.</w:t>
      </w:r>
      <w:r>
        <w:fldChar w:fldCharType="end"/>
      </w:r>
    </w:p>
  </w:footnote>
  <w:footnote w:id="13">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{"citationID":"0q9QIL4P","properties":{"formattedCitation":"\\uc0\\u8216{}Nations by Consent\\uc0\\u8217{}, {\\i{}Libertarian Forum} 1, no. 11 (1969): 3\\uc0\\u8211{}6.","plainCitation":"‘Nations by Consent’, Libertarian Forum 1, no. 11 (1969): 3–6.","noteIndex":13},"citationItems":[{"id":1333,"uris":["http://zotero.org/users/6238250/items/WUB77PEN"],"itemData":{"id":1333,"type":"article-journal","container-title":"Libertarian Forum","issue":"11","page":"3-6","title":"Nations by Consent","volume":"1","author":[{"family":"Rothbard","given":"Murray N."}],"issued":{"date-parts":[["1969"]]}},"suppress-author":true}],"schema":"https://github.com/citation-style-language/schema/raw/master/csl-citation.json"} </w:instrText>
      </w:r>
      <w:r>
        <w:fldChar w:fldCharType="separate"/>
      </w:r>
      <w:r w:rsidRPr="00B50E08">
        <w:rPr>
          <w:rFonts w:ascii="Calibri" w:cs="Calibri"/>
          <w:kern w:val="0"/>
          <w:lang w:val="en-GB"/>
        </w:rPr>
        <w:t xml:space="preserve">‘Nations by Consent’, </w:t>
      </w:r>
      <w:r w:rsidRPr="00B50E08">
        <w:rPr>
          <w:rFonts w:ascii="Calibri" w:cs="Calibri"/>
          <w:i/>
          <w:iCs/>
          <w:kern w:val="0"/>
          <w:lang w:val="en-GB"/>
        </w:rPr>
        <w:t>Libertarian Forum</w:t>
      </w:r>
      <w:r w:rsidRPr="00B50E08">
        <w:rPr>
          <w:rFonts w:ascii="Calibri" w:cs="Calibri"/>
          <w:kern w:val="0"/>
          <w:lang w:val="en-GB"/>
        </w:rPr>
        <w:t xml:space="preserve"> 1, no. 11 (1969): 3–6.</w:t>
      </w:r>
      <w:r>
        <w:fldChar w:fldCharType="end"/>
      </w:r>
    </w:p>
  </w:footnote>
  <w:footnote w:id="14">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{"citationID":"jpye5fcH","properties":{"formattedCitation":"\\uc0\\u8216{}America\\uc0\\u8217{}s Two Just Wars: 1775 and 1861\\uc0\\u8217{}, {\\i{}Libertarian Forum} 10, no. 6 (1976): 3\\uc0\\u8211{}7.","plainCitation":"‘America’s Two Just Wars: 1775 and 1861’, Libertarian Forum 10, no. 6 (1976): 3–7.","noteIndex":14},"citationItems":[{"id":1334,"uris":["http://zotero.org/users/6238250/items/5RYF2E2H"],"itemData":{"id":1334,"type":"article-journal","container-title":"Libertarian Forum","issue":"6","page":"3-7","title":"America's Two Just Wars: 1775 and 1861","volume":"10","author":[{"family":"Rothbard","given":"Murray N."}],"issued":{"date-parts":[["1976"]]}},"suppress-author":true}],"schema":"https://github.com/citation-style-language/schema/raw/master/csl-citation.json"} </w:instrText>
      </w:r>
      <w:r>
        <w:fldChar w:fldCharType="separate"/>
      </w:r>
      <w:r w:rsidRPr="00B50E08">
        <w:rPr>
          <w:rFonts w:ascii="Calibri" w:cs="Calibri"/>
          <w:kern w:val="0"/>
          <w:lang w:val="en-GB"/>
        </w:rPr>
        <w:t xml:space="preserve">‘America’s Two Just Wars: 1775 and 1861’, </w:t>
      </w:r>
      <w:r w:rsidRPr="00B50E08">
        <w:rPr>
          <w:rFonts w:ascii="Calibri" w:cs="Calibri"/>
          <w:i/>
          <w:iCs/>
          <w:kern w:val="0"/>
          <w:lang w:val="en-GB"/>
        </w:rPr>
        <w:t>Libertarian Forum</w:t>
      </w:r>
      <w:r w:rsidRPr="00B50E08">
        <w:rPr>
          <w:rFonts w:ascii="Calibri" w:cs="Calibri"/>
          <w:kern w:val="0"/>
          <w:lang w:val="en-GB"/>
        </w:rPr>
        <w:t xml:space="preserve"> 10, no. 6 (1976): 3–7.</w:t>
      </w:r>
      <w:r>
        <w:fldChar w:fldCharType="end"/>
      </w:r>
    </w:p>
  </w:footnote>
  <w:footnote w:id="15">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{"citationID":"ivEZAvZw","properties":{"formattedCitation":"\\uc0\\u8216{}Just War\\uc0\\u8217{}, {\\i{}Chronicles: A Magazine of American Culture}, 1992.","plainCitation":"‘Just War’, Chronicles: A Magazine of American Culture, 1992.","noteIndex":15},"citationItems":[{"id":1335,"uris":["http://zotero.org/users/6238250/items/AA9WJHE6"],"itemData":{"id":1335,"type":"article-magazine","container-title":"Chronicles: A Magazine of American Culture","issue":"6","page":"34-40","title":"Just War","volume":"16","author":[{"family":"Rothbard","given":"Murray N."}],"issued":{"date-parts":[["1992"]]}},"suppress-author":true}],"schema":"https://github.com/citation-style-language/schema/raw/master/csl-citation.json"} </w:instrText>
      </w:r>
      <w:r>
        <w:fldChar w:fldCharType="separate"/>
      </w:r>
      <w:r w:rsidRPr="00B50E08">
        <w:rPr>
          <w:rFonts w:ascii="Calibri" w:cs="Calibri"/>
          <w:kern w:val="0"/>
          <w:lang w:val="en-GB"/>
        </w:rPr>
        <w:t xml:space="preserve">‘Just War’, </w:t>
      </w:r>
      <w:r w:rsidRPr="00B50E08">
        <w:rPr>
          <w:rFonts w:ascii="Calibri" w:cs="Calibri"/>
          <w:i/>
          <w:iCs/>
          <w:kern w:val="0"/>
          <w:lang w:val="en-GB"/>
        </w:rPr>
        <w:t>Chronicles: A Magazine of American Culture</w:t>
      </w:r>
      <w:r w:rsidRPr="00B50E08">
        <w:rPr>
          <w:rFonts w:ascii="Calibri" w:cs="Calibri"/>
          <w:kern w:val="0"/>
          <w:lang w:val="en-GB"/>
        </w:rPr>
        <w:t>, 1992.</w:t>
      </w:r>
      <w:r>
        <w:fldChar w:fldCharType="end"/>
      </w:r>
    </w:p>
  </w:footnote>
  <w:footnote w:id="16">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{"citationID":"DLfEADx4","properties":{"formattedCitation":"\\uc0\\u8216{}Confessions of a Right-Wing Liberal\\uc0\\u8217{}, {\\i{}The Rothbard-Rockwell Report} 1, no. 6 (1998).","plainCitation":"‘Confessions of a Right-Wing Liberal’, The Rothbard-Rockwell Report 1, no. 6 (1998).","noteIndex":16},"citationItems":[{"id":1332,"uris":["http://zotero.org/users/6238250/items/GI5AR85H"],"itemData":{"id":1332,"type":"article-journal","container-title":"The Rothbard-Rockwell Report","issue":"6","title":"Confessions of a Right-Wing Liberal","volume":"1","author":[{"family":"Rothbard","given":"Murray N."}],"issued":{"date-parts":[["1998"]]}},"suppress-author":true}],"schema":"https://github.com/citation-style-language/schema/raw/master/csl-citation.json"} </w:instrText>
      </w:r>
      <w:r>
        <w:fldChar w:fldCharType="separate"/>
      </w:r>
      <w:r w:rsidRPr="00B50E08">
        <w:rPr>
          <w:rFonts w:ascii="Calibri" w:cs="Calibri"/>
          <w:kern w:val="0"/>
          <w:lang w:val="en-GB"/>
        </w:rPr>
        <w:t xml:space="preserve">‘Confessions of a Right-Wing Liberal’, </w:t>
      </w:r>
      <w:r w:rsidRPr="00B50E08">
        <w:rPr>
          <w:rFonts w:ascii="Calibri" w:cs="Calibri"/>
          <w:i/>
          <w:iCs/>
          <w:kern w:val="0"/>
          <w:lang w:val="en-GB"/>
        </w:rPr>
        <w:t>The Rothbard-Rockwell Report</w:t>
      </w:r>
      <w:r w:rsidRPr="00B50E08">
        <w:rPr>
          <w:rFonts w:ascii="Calibri" w:cs="Calibri"/>
          <w:kern w:val="0"/>
          <w:lang w:val="en-GB"/>
        </w:rPr>
        <w:t xml:space="preserve"> 1, no. 6 (1998).</w:t>
      </w:r>
      <w:r>
        <w:fldChar w:fldCharType="end"/>
      </w:r>
    </w:p>
  </w:footnote>
  <w:footnote w:id="17">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{"citationID":"vHz6wtod","properties":{"formattedCitation":"{\\i{}Anarchy, State, and Utopia} (Basic Books, 1974).","plainCitation":"Anarchy, State, and Utopia (Basic Books, 1974).","noteIndex":17},"citationItems":[{"id":307,"uris":["http://zotero.org/users/6238250/items/RGFGQEDS"],"itemData":{"id":307,"type":"book","publisher":"Basic Books","publisher-place":"New York","title":"Anarchy, State, and Utopia","author":[{"family":"Nozick","given":"Robert"}],"issued":{"date-parts":[["1974"]]}},"suppress-author":true}],"schema":"https://github.com/citation-style-language/schema/raw/master/csl-citation.json"} </w:instrText>
      </w:r>
      <w:r>
        <w:fldChar w:fldCharType="separate"/>
      </w:r>
      <w:r w:rsidRPr="00B50E08">
        <w:rPr>
          <w:rFonts w:ascii="Calibri" w:cs="Calibri"/>
          <w:i/>
          <w:iCs/>
          <w:kern w:val="0"/>
          <w:lang w:val="en-GB"/>
        </w:rPr>
        <w:t>Anarchy, State, and Utopia</w:t>
      </w:r>
      <w:r w:rsidRPr="00B50E08">
        <w:rPr>
          <w:rFonts w:ascii="Calibri" w:cs="Calibri"/>
          <w:kern w:val="0"/>
          <w:lang w:val="en-GB"/>
        </w:rPr>
        <w:t xml:space="preserve"> (Basic Books, 1974).</w:t>
      </w:r>
      <w:r>
        <w:fldChar w:fldCharType="end"/>
      </w:r>
    </w:p>
  </w:footnote>
  <w:footnote w:id="18">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{"citationID":"5nbftoF2","properties":{"formattedCitation":"{\\i{}A Theory of Justice} (The Belknap Press of Harvard University Press, 1971).","plainCitation":"A Theory of Justice (The Belknap Press of Harvard University Press, 1971).","noteIndex":18},"citationItems":[{"id":130,"uris":["http://zotero.org/users/6238250/items/XH7VX2UL"],"itemData":{"id":130,"type":"book","publisher":"The Belknap Press of Harvard University Press","publisher-place":"Cambridge","title":"A Theory of Justice","author":[{"family":"Rawls","given":"John"}],"issued":{"date-parts":[["1971"]]}},"suppress-author":true}],"schema":"https://github.com/citation-style-language/schema/raw/master/csl-citation.json"} </w:instrText>
      </w:r>
      <w:r>
        <w:fldChar w:fldCharType="separate"/>
      </w:r>
      <w:r w:rsidRPr="00B50E08">
        <w:rPr>
          <w:rFonts w:ascii="Calibri" w:cs="Calibri"/>
          <w:i/>
          <w:iCs/>
          <w:kern w:val="0"/>
          <w:lang w:val="en-GB"/>
        </w:rPr>
        <w:t>A Theory of Justice</w:t>
      </w:r>
      <w:r w:rsidRPr="00B50E08">
        <w:rPr>
          <w:rFonts w:ascii="Calibri" w:cs="Calibri"/>
          <w:kern w:val="0"/>
          <w:lang w:val="en-GB"/>
        </w:rPr>
        <w:t xml:space="preserve"> (The Belknap Press of Harvard University Press, 1971).</w:t>
      </w:r>
      <w:r>
        <w:fldChar w:fldCharType="end"/>
      </w:r>
    </w:p>
  </w:footnote>
  <w:footnote w:id="19">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{"citationID":"0xNEUMIo","properties":{"formattedCitation":"Eric Mack, \\uc0\\u8216{}Robert Nozick\\uc0\\u8217{}s Political Philosophy\\uc0\\u8217{}, in {\\i{}Stanford Encyclopedia of Philosophy}, ed. Edward N. Zalta and Uri Nodelman, 2022, https://plato.stanford.edu/entries/nozick-political/; Ralph Raico, \\uc0\\u8216{}How Nozick Became a Libertarian\\uc0\\u8217{}, Blog, {\\i{}LewRockwell.Com}, 2002, https://archive.lewrockwell.com/raico/raico15.html.","plainCitation":"Eric Mack, ‘Robert Nozick’s Political Philosophy’, in Stanford Encyclopedia of Philosophy, ed. Edward N. Zalta and Uri Nodelman, 2022, https://plato.stanford.edu/entries/nozick-political/; Ralph Raico, ‘How Nozick Became a Libertarian’, Blog, LewRockwell.Com, 2002, https://archive.lewrockwell.com/raico/raico15.html.","noteIndex":19},"citationItems":[{"id":1337,"uris":["http://zotero.org/users/6238250/items/RF68WMLW"],"itemData":{"id":1337,"type":"entry-encyclopedia","container-title":"Stanford Encyclopedia of Philosophy","title":"Robert Nozick's Political Philosophy","URL":"https://plato.stanford.edu/entries/nozick-political/","author":[{"family":"Mack","given":"Eric"}],"editor":[{"family":"Zalta","given":"Edward N."},{"family":"Nodelman","given":"Uri"}],"issued":{"date-parts":[["2022"]]}}},{"id":1338,"uris":["http://zotero.org/users/6238250/items/DI96ZZHT"],"itemData":{"id":1338,"type":"post-weblog","container-title":"LewRockwell.com","genre":"Blog","title":"How Nozick Became a Libertarian","URL":"https://archive.lewrockwell.com/raico/raico15.html","author":[{"family":"Raico","given":"Ralph"}],"issued":{"date-parts":[["2002"]]}}}],"schema":"https://github.com/citation-style-language/schema/raw/master/csl-citation.json"} </w:instrText>
      </w:r>
      <w:r>
        <w:fldChar w:fldCharType="separate"/>
      </w:r>
      <w:r w:rsidRPr="00B50E08">
        <w:rPr>
          <w:rFonts w:ascii="Calibri" w:cs="Calibri"/>
          <w:kern w:val="0"/>
          <w:lang w:val="en-GB"/>
        </w:rPr>
        <w:t xml:space="preserve">Eric Mack, ‘Robert Nozick’s Political Philosophy’, in </w:t>
      </w:r>
      <w:r w:rsidRPr="00B50E08">
        <w:rPr>
          <w:rFonts w:ascii="Calibri" w:cs="Calibri"/>
          <w:i/>
          <w:iCs/>
          <w:kern w:val="0"/>
          <w:lang w:val="en-GB"/>
        </w:rPr>
        <w:t xml:space="preserve">Stanford </w:t>
      </w:r>
      <w:proofErr w:type="spellStart"/>
      <w:r w:rsidRPr="00B50E08">
        <w:rPr>
          <w:rFonts w:ascii="Calibri" w:cs="Calibri"/>
          <w:i/>
          <w:iCs/>
          <w:kern w:val="0"/>
          <w:lang w:val="en-GB"/>
        </w:rPr>
        <w:t>Encyclopedia</w:t>
      </w:r>
      <w:proofErr w:type="spellEnd"/>
      <w:r w:rsidRPr="00B50E08">
        <w:rPr>
          <w:rFonts w:ascii="Calibri" w:cs="Calibri"/>
          <w:i/>
          <w:iCs/>
          <w:kern w:val="0"/>
          <w:lang w:val="en-GB"/>
        </w:rPr>
        <w:t xml:space="preserve"> of Philosophy</w:t>
      </w:r>
      <w:r w:rsidRPr="00B50E08">
        <w:rPr>
          <w:rFonts w:ascii="Calibri" w:cs="Calibri"/>
          <w:kern w:val="0"/>
          <w:lang w:val="en-GB"/>
        </w:rPr>
        <w:t xml:space="preserve">, ed. Edward N. Zalta and Uri Nodelman, 2022, https://plato.stanford.edu/entries/nozick-political/; Ralph </w:t>
      </w:r>
      <w:proofErr w:type="spellStart"/>
      <w:r w:rsidRPr="00B50E08">
        <w:rPr>
          <w:rFonts w:ascii="Calibri" w:cs="Calibri"/>
          <w:kern w:val="0"/>
          <w:lang w:val="en-GB"/>
        </w:rPr>
        <w:t>Raico</w:t>
      </w:r>
      <w:proofErr w:type="spellEnd"/>
      <w:r w:rsidRPr="00B50E08">
        <w:rPr>
          <w:rFonts w:ascii="Calibri" w:cs="Calibri"/>
          <w:kern w:val="0"/>
          <w:lang w:val="en-GB"/>
        </w:rPr>
        <w:t xml:space="preserve">, ‘How Nozick Became a Libertarian’, Blog, </w:t>
      </w:r>
      <w:r w:rsidRPr="00B50E08">
        <w:rPr>
          <w:rFonts w:ascii="Calibri" w:cs="Calibri"/>
          <w:i/>
          <w:iCs/>
          <w:kern w:val="0"/>
          <w:lang w:val="en-GB"/>
        </w:rPr>
        <w:t>LewRockwell.Com</w:t>
      </w:r>
      <w:r w:rsidRPr="00B50E08">
        <w:rPr>
          <w:rFonts w:ascii="Calibri" w:cs="Calibri"/>
          <w:kern w:val="0"/>
          <w:lang w:val="en-GB"/>
        </w:rPr>
        <w:t>, 2002, https://archive.lewrockwell.com/raico/raico15.html.</w:t>
      </w:r>
      <w:r>
        <w:fldChar w:fldCharType="end"/>
      </w:r>
    </w:p>
  </w:footnote>
  <w:footnote w:id="20">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{"citationID":"24mWVyFP","properties":{"formattedCitation":"John Locke, {\\i{}Two Treatises of Civil Government}, ed. Thomas Hollis (A. Millar, 1689), pt II.","plainCitation":"John Locke, Two Treatises of Civil Government, ed. Thomas Hollis (A. Millar, 1689), pt II.","noteIndex":20},"citationItems":[{"id":249,"uris":["http://zotero.org/users/6238250/items/KNDD7ECW"],"itemData":{"id":249,"type":"book","publisher":"A. Millar","publisher-place":"London","title":"Two Treatises of Civil Government","author":[{"family":"Locke","given":"John"}],"editor":[{"family":"Hollis","given":"Thomas"}],"issued":{"date-parts":[["1689"]],"season":"1764"}},"locator":"II","label":"part"}],"schema":"https://github.com/citation-style-language/schema/raw/master/csl-citation.json"} </w:instrText>
      </w:r>
      <w:r>
        <w:fldChar w:fldCharType="separate"/>
      </w:r>
      <w:r w:rsidRPr="00B50E08">
        <w:rPr>
          <w:rFonts w:ascii="Calibri" w:cs="Calibri"/>
          <w:kern w:val="0"/>
          <w:lang w:val="en-GB"/>
        </w:rPr>
        <w:t xml:space="preserve">John Locke, </w:t>
      </w:r>
      <w:r w:rsidRPr="00B50E08">
        <w:rPr>
          <w:rFonts w:ascii="Calibri" w:cs="Calibri"/>
          <w:i/>
          <w:iCs/>
          <w:kern w:val="0"/>
          <w:lang w:val="en-GB"/>
        </w:rPr>
        <w:t>Two Treatises of Civil Government</w:t>
      </w:r>
      <w:r w:rsidRPr="00B50E08">
        <w:rPr>
          <w:rFonts w:ascii="Calibri" w:cs="Calibri"/>
          <w:kern w:val="0"/>
          <w:lang w:val="en-GB"/>
        </w:rPr>
        <w:t>, ed. Thomas Hollis (A. Millar, 1689), pt II.</w:t>
      </w:r>
      <w:r>
        <w:fldChar w:fldCharType="end"/>
      </w:r>
    </w:p>
  </w:footnote>
  <w:footnote w:id="21">
    <w:p w:rsidR="00177C30" w:rsidRPr="00177C30" w:rsidRDefault="00177C30">
      <w:pPr>
        <w:pStyle w:val="FootnoteText"/>
        <w:rPr>
          <w:lang w:val="en-GB"/>
        </w:rPr>
      </w:pPr>
      <w:r>
        <w:rPr>
          <w:rStyle w:val="FootnoteReference"/>
        </w:rPr>
        <w:footnoteRef/>
      </w:r>
      <w:r>
        <w:t xml:space="preserve"> </w:t>
      </w:r>
      <w:r w:rsidR="005F4B7A">
        <w:t xml:space="preserve">A. </w:t>
      </w:r>
      <w:r>
        <w:rPr>
          <w:lang w:val="en-GB"/>
        </w:rPr>
        <w:t>John Simmons dedicated his career to arguing that the Lockean theory of rights does indeed imply “philosophical anarchism</w:t>
      </w:r>
      <w:r w:rsidR="00B166CF">
        <w:rPr>
          <w:lang w:val="en-GB"/>
        </w:rPr>
        <w:t>,</w:t>
      </w:r>
      <w:r>
        <w:rPr>
          <w:lang w:val="en-GB"/>
        </w:rPr>
        <w:t>”</w:t>
      </w:r>
      <w:r w:rsidR="005F4B7A">
        <w:rPr>
          <w:lang w:val="en-GB"/>
        </w:rPr>
        <w:t xml:space="preserve"> </w:t>
      </w:r>
      <w:r w:rsidR="005F4B7A">
        <w:rPr>
          <w:lang w:val="en-GB"/>
        </w:rPr>
        <w:fldChar w:fldCharType="begin"/>
      </w:r>
      <w:r w:rsidR="00B50E08">
        <w:rPr>
          <w:lang w:val="en-GB"/>
        </w:rPr>
        <w:instrText xml:space="preserve"> ADDIN ZOTERO_ITEM CSL_CITATION {"citationID":"xPbpltgj","properties":{"formattedCitation":"\\uc0\\u8216{}Tacit Consent and Political Obligation\\uc0\\u8217{}, {\\i{}Philosophy and Public Affairs} 5, no. 3 (1976): 274\\uc0\\u8211{}91; A. John Simmons, {\\i{}Moral Principles and Political Obligations} (Princeton University Press, 1981); A. John Simmons, {\\i{}The Lockean Theory of Rights} (Princeton University Press, 1992); A. John Simmons, {\\i{}On the Edge of Anarchy: Locke, Consent, and the Limits of Society} (Princeton University Press, 1993); A. John Simmons, {\\i{}Justification and Legitimacy: Essays on Rights and Obligations} (Cambridge University Press, 2001).","plainCitation":"‘Tacit Consent and Political Obligation’, Philosophy and Public Affairs 5, no. 3 (1976): 274–91; A. John Simmons, Moral Principles and Political Obligations (Princeton University Press, 1981); A. John Simmons, The Lockean Theory of Rights (Princeton University Press, 1992); A. John Simmons, On the Edge of Anarchy: Locke, Consent, and the Limits of Society (Princeton University Press, 1993); A. John Simmons, Justification and Legitimacy: Essays on Rights and Obligations (Cambridge University Press, 2001).","noteIndex":21},"citationItems":[{"id":373,"uris":["http://zotero.org/users/6238250/items/JV5LAJF8"],"itemData":{"id":373,"type":"article-journal","container-title":"Philosophy and Public Affairs","issue":"3","page":"274-291","title":"Tacit Consent and Political Obligation","volume":"5","author":[{"family":"Simmons","given":"A. John"}],"issued":{"date-parts":[["1976"]]}},"suppress-author":true},{"id":725,"uris":["http://zotero.org/users/6238250/items/AFZFDIBF"],"itemData":{"id":725,"type":"book","publisher":"Princeton University Press","publisher-place":"Princeton","title":"Moral Principles and Political Obligations","author":[{"family":"Simmons","given":"A. John"}],"issued":{"date-parts":[["1981"]]}}},{"id":180,"uris":["http://zotero.org/users/6238250/items/HLABWAFK"],"itemData":{"id":180,"type":"book","publisher":"Princeton University Press","publisher-place":"Princeton","title":"The Lockean Theory of Rights","author":[{"family":"Simmons","given":"A. John"}],"issued":{"date-parts":[["1992"]]}}},{"id":154,"uris":["http://zotero.org/users/6238250/items/VC46IJ49"],"itemData":{"id":154,"type":"book","publisher":"Princeton University Press","publisher-place":"Princeton","title":"On the Edge of Anarchy: Locke, Consent, and the Limits of Society","author":[{"family":"Simmons","given":"A. John"}],"issued":{"date-parts":[["1993"]]}}},{"id":153,"uris":["http://zotero.org/users/6238250/items/6SJTNZ99"],"itemData":{"id":153,"type":"book","publisher":"Cambridge University Press","publisher-place":"Cambridge","title":"Justification and Legitimacy: Essays on Rights and Obligations","author":[{"family":"Simmons","given":"A. John"}],"issued":{"date-parts":[["2001"]]}}}],"schema":"https://github.com/citation-style-language/schema/raw/master/csl-citation.json"} </w:instrText>
      </w:r>
      <w:r w:rsidR="005F4B7A">
        <w:rPr>
          <w:lang w:val="en-GB"/>
        </w:rPr>
        <w:fldChar w:fldCharType="separate"/>
      </w:r>
      <w:r w:rsidR="00B50E08" w:rsidRPr="00B50E08">
        <w:rPr>
          <w:rFonts w:ascii="Calibri" w:cs="Calibri"/>
          <w:kern w:val="0"/>
          <w:lang w:val="en-GB"/>
        </w:rPr>
        <w:t xml:space="preserve">‘Tacit Consent and Political Obligation’, </w:t>
      </w:r>
      <w:r w:rsidR="00B50E08" w:rsidRPr="00B50E08">
        <w:rPr>
          <w:rFonts w:ascii="Calibri" w:cs="Calibri"/>
          <w:i/>
          <w:iCs/>
          <w:kern w:val="0"/>
          <w:lang w:val="en-GB"/>
        </w:rPr>
        <w:t>Philosophy and Public Affairs</w:t>
      </w:r>
      <w:r w:rsidR="00B50E08" w:rsidRPr="00B50E08">
        <w:rPr>
          <w:rFonts w:ascii="Calibri" w:cs="Calibri"/>
          <w:kern w:val="0"/>
          <w:lang w:val="en-GB"/>
        </w:rPr>
        <w:t xml:space="preserve"> 5, no. 3 (1976): 274–91; A. John Simmons, </w:t>
      </w:r>
      <w:r w:rsidR="00B50E08" w:rsidRPr="00B50E08">
        <w:rPr>
          <w:rFonts w:ascii="Calibri" w:cs="Calibri"/>
          <w:i/>
          <w:iCs/>
          <w:kern w:val="0"/>
          <w:lang w:val="en-GB"/>
        </w:rPr>
        <w:t>Moral Principles and Political Obligations</w:t>
      </w:r>
      <w:r w:rsidR="00B50E08" w:rsidRPr="00B50E08">
        <w:rPr>
          <w:rFonts w:ascii="Calibri" w:cs="Calibri"/>
          <w:kern w:val="0"/>
          <w:lang w:val="en-GB"/>
        </w:rPr>
        <w:t xml:space="preserve"> (Princeton University Press, 1981); A. John Simmons, </w:t>
      </w:r>
      <w:r w:rsidR="00B50E08" w:rsidRPr="00B50E08">
        <w:rPr>
          <w:rFonts w:ascii="Calibri" w:cs="Calibri"/>
          <w:i/>
          <w:iCs/>
          <w:kern w:val="0"/>
          <w:lang w:val="en-GB"/>
        </w:rPr>
        <w:t>The Lockean Theory of Rights</w:t>
      </w:r>
      <w:r w:rsidR="00B50E08" w:rsidRPr="00B50E08">
        <w:rPr>
          <w:rFonts w:ascii="Calibri" w:cs="Calibri"/>
          <w:kern w:val="0"/>
          <w:lang w:val="en-GB"/>
        </w:rPr>
        <w:t xml:space="preserve"> (Princeton University Press, 1992); A. John Simmons, </w:t>
      </w:r>
      <w:r w:rsidR="00B50E08" w:rsidRPr="00B50E08">
        <w:rPr>
          <w:rFonts w:ascii="Calibri" w:cs="Calibri"/>
          <w:i/>
          <w:iCs/>
          <w:kern w:val="0"/>
          <w:lang w:val="en-GB"/>
        </w:rPr>
        <w:t>On the Edge of Anarchy: Locke, Consent, and the Limits of Society</w:t>
      </w:r>
      <w:r w:rsidR="00B50E08" w:rsidRPr="00B50E08">
        <w:rPr>
          <w:rFonts w:ascii="Calibri" w:cs="Calibri"/>
          <w:kern w:val="0"/>
          <w:lang w:val="en-GB"/>
        </w:rPr>
        <w:t xml:space="preserve"> (Princeton University Press, 1993); A. John Simmons, </w:t>
      </w:r>
      <w:r w:rsidR="00B50E08" w:rsidRPr="00B50E08">
        <w:rPr>
          <w:rFonts w:ascii="Calibri" w:cs="Calibri"/>
          <w:i/>
          <w:iCs/>
          <w:kern w:val="0"/>
          <w:lang w:val="en-GB"/>
        </w:rPr>
        <w:t>Justification and Legitimacy: Essays on Rights and Obligations</w:t>
      </w:r>
      <w:r w:rsidR="00B50E08" w:rsidRPr="00B50E08">
        <w:rPr>
          <w:rFonts w:ascii="Calibri" w:cs="Calibri"/>
          <w:kern w:val="0"/>
          <w:lang w:val="en-GB"/>
        </w:rPr>
        <w:t xml:space="preserve"> (Cambridge University Press, 2001).</w:t>
      </w:r>
      <w:r w:rsidR="005F4B7A">
        <w:rPr>
          <w:lang w:val="en-GB"/>
        </w:rPr>
        <w:fldChar w:fldCharType="end"/>
      </w:r>
      <w:r w:rsidR="00B166CF">
        <w:rPr>
          <w:lang w:val="en-GB"/>
        </w:rPr>
        <w:t xml:space="preserve"> though his work came after Nozick’s.</w:t>
      </w:r>
      <w:r>
        <w:rPr>
          <w:lang w:val="en-GB"/>
        </w:rPr>
        <w:t xml:space="preserve"> Simmons’s work developed entirely independently of any libertarian influence</w:t>
      </w:r>
      <w:r w:rsidR="00B166CF">
        <w:rPr>
          <w:lang w:val="en-GB"/>
        </w:rPr>
        <w:t>,</w:t>
      </w:r>
      <w:r>
        <w:rPr>
          <w:lang w:val="en-GB"/>
        </w:rPr>
        <w:t xml:space="preserve"> </w:t>
      </w:r>
      <w:r w:rsidR="00B166CF">
        <w:rPr>
          <w:lang w:val="en-GB"/>
        </w:rPr>
        <w:t>a</w:t>
      </w:r>
      <w:r>
        <w:rPr>
          <w:lang w:val="en-GB"/>
        </w:rPr>
        <w:t xml:space="preserve">nd if </w:t>
      </w:r>
      <w:r w:rsidR="00B166CF">
        <w:rPr>
          <w:lang w:val="en-GB"/>
        </w:rPr>
        <w:t>he</w:t>
      </w:r>
      <w:r w:rsidR="000153BB">
        <w:rPr>
          <w:lang w:val="en-GB"/>
        </w:rPr>
        <w:t xml:space="preserve"> did respond </w:t>
      </w:r>
      <w:r>
        <w:rPr>
          <w:lang w:val="en-GB"/>
        </w:rPr>
        <w:t>to Nozick’s argument against anarchism, it is not available anywhere I can find it.</w:t>
      </w:r>
    </w:p>
  </w:footnote>
  <w:footnote w:id="22">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{"citationID":"yN18ihR5","properties":{"formattedCitation":"\\uc0\\u8216{}Robert Nozick, Philosopher of Liberty\\uc0\\u8217{}, {\\i{}The Freeman: Ideas on Liberty} 52 (2002): 30\\uc0\\u8211{}33.","plainCitation":"‘Robert Nozick, Philosopher of Liberty’, The Freeman: Ideas on Liberty 52 (2002): 30–33.","noteIndex":22},"citationItems":[{"id":91,"uris":["http://zotero.org/users/6238250/items/WHUCTZIW"],"itemData":{"id":91,"type":"article-journal","container-title":"The Freeman: Ideas on Liberty","page":"30-33","title":"Robert Nozick, Philosopher of Liberty","volume":"52","author":[{"family":"Long","given":"Roderick T."}],"issued":{"date-parts":[["2002"]]}},"suppress-author":true}],"schema":"https://github.com/citation-style-language/schema/raw/master/csl-citation.json"} </w:instrText>
      </w:r>
      <w:r>
        <w:fldChar w:fldCharType="separate"/>
      </w:r>
      <w:r w:rsidRPr="00B50E08">
        <w:rPr>
          <w:rFonts w:ascii="Calibri" w:cs="Calibri"/>
          <w:kern w:val="0"/>
          <w:lang w:val="en-GB"/>
        </w:rPr>
        <w:t xml:space="preserve">‘Robert Nozick, Philosopher of Liberty’, </w:t>
      </w:r>
      <w:r w:rsidRPr="00B50E08">
        <w:rPr>
          <w:rFonts w:ascii="Calibri" w:cs="Calibri"/>
          <w:i/>
          <w:iCs/>
          <w:kern w:val="0"/>
          <w:lang w:val="en-GB"/>
        </w:rPr>
        <w:t>The Freeman: Ideas on Liberty</w:t>
      </w:r>
      <w:r w:rsidRPr="00B50E08">
        <w:rPr>
          <w:rFonts w:ascii="Calibri" w:cs="Calibri"/>
          <w:kern w:val="0"/>
          <w:lang w:val="en-GB"/>
        </w:rPr>
        <w:t xml:space="preserve"> 52 (2002): 30–33.</w:t>
      </w:r>
      <w:r>
        <w:fldChar w:fldCharType="end"/>
      </w:r>
    </w:p>
  </w:footnote>
  <w:footnote w:id="23">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{"citationID":"53m4mmN6","properties":{"formattedCitation":"{\\i{}Two Treatises of Civil Government}, pt II.","plainCitation":"Two Treatises of Civil Government, pt II.","noteIndex":23},"citationItems":[{"id":249,"uris":["http://zotero.org/users/6238250/items/KNDD7ECW"],"itemData":{"id":249,"type":"book","publisher":"A. Millar","publisher-place":"London","title":"Two Treatises of Civil Government","author":[{"family":"Locke","given":"John"}],"editor":[{"family":"Hollis","given":"Thomas"}],"issued":{"date-parts":[["1689"]],"season":"1764"}},"locator":"II","label":"part","suppress-author":true}],"schema":"https://github.com/citation-style-language/schema/raw/master/csl-citation.json"} </w:instrText>
      </w:r>
      <w:r>
        <w:fldChar w:fldCharType="separate"/>
      </w:r>
      <w:r w:rsidRPr="00B50E08">
        <w:rPr>
          <w:rFonts w:ascii="Calibri" w:cs="Calibri"/>
          <w:i/>
          <w:iCs/>
          <w:kern w:val="0"/>
          <w:lang w:val="en-GB"/>
        </w:rPr>
        <w:t>Two Treatises of Civil Government</w:t>
      </w:r>
      <w:r w:rsidRPr="00B50E08">
        <w:rPr>
          <w:rFonts w:ascii="Calibri" w:cs="Calibri"/>
          <w:kern w:val="0"/>
          <w:lang w:val="en-GB"/>
        </w:rPr>
        <w:t>, pt II.</w:t>
      </w:r>
      <w:r>
        <w:fldChar w:fldCharType="end"/>
      </w:r>
    </w:p>
  </w:footnote>
  <w:footnote w:id="24">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{"citationID":"WAQSYBse","properties":{"formattedCitation":"{\\i{}The Metaphysics of Morals}, ed. Mary Gregor (Cambridge University Press, 1797).","plainCitation":"The Metaphysics of Morals, ed. Mary Gregor (Cambridge University Press, 1797).","noteIndex":24},"citationItems":[{"id":774,"uris":["http://zotero.org/users/6238250/items/CQCENZUG"],"itemData":{"id":774,"type":"book","publisher":"Cambridge University Press","publisher-place":"Cambridge","title":"The Metaphysics of Morals","author":[{"family":"Kant","given":"Immanuel"}],"editor":[{"family":"Gregor","given":"Mary"}],"issued":{"date-parts":[["1797"]],"season":"1991"}},"suppress-author":true}],"schema":"https://github.com/citation-style-language/schema/raw/master/csl-citation.json"} </w:instrText>
      </w:r>
      <w:r>
        <w:fldChar w:fldCharType="separate"/>
      </w:r>
      <w:r w:rsidRPr="00B50E08">
        <w:rPr>
          <w:rFonts w:ascii="Calibri" w:cs="Calibri"/>
          <w:i/>
          <w:iCs/>
          <w:kern w:val="0"/>
          <w:lang w:val="en-GB"/>
        </w:rPr>
        <w:t>The Metaphysics of Morals</w:t>
      </w:r>
      <w:r w:rsidRPr="00B50E08">
        <w:rPr>
          <w:rFonts w:ascii="Calibri" w:cs="Calibri"/>
          <w:kern w:val="0"/>
          <w:lang w:val="en-GB"/>
        </w:rPr>
        <w:t>, ed. Mary Gregor (Cambridge University Press, 1797).</w:t>
      </w:r>
      <w:r>
        <w:fldChar w:fldCharType="end"/>
      </w:r>
    </w:p>
  </w:footnote>
  <w:footnote w:id="25">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{"citationID":"3EQ2SHhB","properties":{"formattedCitation":"{\\i{}The Ethics of Liberty}.","plainCitation":"The Ethics of Liberty.","noteIndex":25},"citationItems":[{"id":108,"uris":["http://zotero.org/users/6238250/items/L2A34JC4"],"itemData":{"id":108,"type":"book","publisher":"New York University Press","publisher-place":"New York","title":"The Ethics of Liberty","author":[{"family":"Rothbard","given":"Murray N."}],"issued":{"date-parts":[["1998"]]}},"suppress-author":true}],"schema":"https://github.com/citation-style-language/schema/raw/master/csl-citation.json"} </w:instrText>
      </w:r>
      <w:r>
        <w:fldChar w:fldCharType="separate"/>
      </w:r>
      <w:r w:rsidRPr="00B50E08">
        <w:rPr>
          <w:rFonts w:ascii="Calibri" w:cs="Calibri"/>
          <w:i/>
          <w:iCs/>
          <w:kern w:val="0"/>
          <w:lang w:val="en-GB"/>
        </w:rPr>
        <w:t>The Ethics of Liberty</w:t>
      </w:r>
      <w:r w:rsidRPr="00B50E08">
        <w:rPr>
          <w:rFonts w:ascii="Calibri" w:cs="Calibri"/>
          <w:kern w:val="0"/>
          <w:lang w:val="en-GB"/>
        </w:rPr>
        <w:t>.</w:t>
      </w:r>
      <w:r>
        <w:fldChar w:fldCharType="end"/>
      </w:r>
    </w:p>
  </w:footnote>
  <w:footnote w:id="26">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{"citationID":"iInY4gLJ","properties":{"formattedCitation":"{\\i{}The Ethics of Liberty}, chs 1\\uc0\\u8211{}2.","plainCitation":"The Ethics of Liberty, chs 1–2.","noteIndex":26},"citationItems":[{"id":108,"uris":["http://zotero.org/users/6238250/items/L2A34JC4"],"itemData":{"id":108,"type":"book","publisher":"New York University Press","publisher-place":"New York","title":"The Ethics of Liberty","author":[{"family":"Rothbard","given":"Murray N."}],"issued":{"date-parts":[["1998"]]}},"locator":"1-2","label":"chapter","suppress-author":true}],"schema":"https://github.com/citation-style-language/schema/raw/master/csl-citation.json"} </w:instrText>
      </w:r>
      <w:r>
        <w:fldChar w:fldCharType="separate"/>
      </w:r>
      <w:r w:rsidRPr="00B50E08">
        <w:rPr>
          <w:rFonts w:ascii="Calibri" w:cs="Calibri"/>
          <w:i/>
          <w:iCs/>
          <w:kern w:val="0"/>
          <w:lang w:val="en-GB"/>
        </w:rPr>
        <w:t>The Ethics of Liberty</w:t>
      </w:r>
      <w:r w:rsidRPr="00B50E08">
        <w:rPr>
          <w:rFonts w:ascii="Calibri" w:cs="Calibri"/>
          <w:kern w:val="0"/>
          <w:lang w:val="en-GB"/>
        </w:rPr>
        <w:t xml:space="preserve">, </w:t>
      </w:r>
      <w:proofErr w:type="spellStart"/>
      <w:r w:rsidRPr="00B50E08">
        <w:rPr>
          <w:rFonts w:ascii="Calibri" w:cs="Calibri"/>
          <w:kern w:val="0"/>
          <w:lang w:val="en-GB"/>
        </w:rPr>
        <w:t>chs</w:t>
      </w:r>
      <w:proofErr w:type="spellEnd"/>
      <w:r w:rsidRPr="00B50E08">
        <w:rPr>
          <w:rFonts w:ascii="Calibri" w:cs="Calibri"/>
          <w:kern w:val="0"/>
          <w:lang w:val="en-GB"/>
        </w:rPr>
        <w:t xml:space="preserve"> 1–2.</w:t>
      </w:r>
      <w:r>
        <w:fldChar w:fldCharType="end"/>
      </w:r>
    </w:p>
  </w:footnote>
  <w:footnote w:id="27">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{"citationID":"Wh9NgxTR","properties":{"formattedCitation":"{\\i{}The Ethics of Liberty}, ch. 4.","plainCitation":"The Ethics of Liberty, ch. 4.","noteIndex":27},"citationItems":[{"id":108,"uris":["http://zotero.org/users/6238250/items/L2A34JC4"],"itemData":{"id":108,"type":"book","publisher":"New York University Press","publisher-place":"New York","title":"The Ethics of Liberty","author":[{"family":"Rothbard","given":"Murray N."}],"issued":{"date-parts":[["1998"]]}},"locator":"4","label":"chapter","suppress-author":true}],"schema":"https://github.com/citation-style-language/schema/raw/master/csl-citation.json"} </w:instrText>
      </w:r>
      <w:r>
        <w:fldChar w:fldCharType="separate"/>
      </w:r>
      <w:r w:rsidRPr="00B50E08">
        <w:rPr>
          <w:rFonts w:ascii="Calibri" w:cs="Calibri"/>
          <w:i/>
          <w:iCs/>
          <w:kern w:val="0"/>
          <w:lang w:val="en-GB"/>
        </w:rPr>
        <w:t>The Ethics of Liberty</w:t>
      </w:r>
      <w:r w:rsidRPr="00B50E08">
        <w:rPr>
          <w:rFonts w:ascii="Calibri" w:cs="Calibri"/>
          <w:kern w:val="0"/>
          <w:lang w:val="en-GB"/>
        </w:rPr>
        <w:t xml:space="preserve">, </w:t>
      </w:r>
      <w:proofErr w:type="spellStart"/>
      <w:r w:rsidRPr="00B50E08">
        <w:rPr>
          <w:rFonts w:ascii="Calibri" w:cs="Calibri"/>
          <w:kern w:val="0"/>
          <w:lang w:val="en-GB"/>
        </w:rPr>
        <w:t>ch.</w:t>
      </w:r>
      <w:proofErr w:type="spellEnd"/>
      <w:r w:rsidRPr="00B50E08">
        <w:rPr>
          <w:rFonts w:ascii="Calibri" w:cs="Calibri"/>
          <w:kern w:val="0"/>
          <w:lang w:val="en-GB"/>
        </w:rPr>
        <w:t xml:space="preserve"> 4.</w:t>
      </w:r>
      <w:r>
        <w:fldChar w:fldCharType="end"/>
      </w:r>
    </w:p>
  </w:footnote>
  <w:footnote w:id="28">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{"citationID":"6XeueLgw","properties":{"formattedCitation":"{\\i{}The Ethics of Liberty}, ch. 5.","plainCitation":"The Ethics of Liberty, ch. 5.","noteIndex":28},"citationItems":[{"id":108,"uris":["http://zotero.org/users/6238250/items/L2A34JC4"],"itemData":{"id":108,"type":"book","publisher":"New York University Press","publisher-place":"New York","title":"The Ethics of Liberty","author":[{"family":"Rothbard","given":"Murray N."}],"issued":{"date-parts":[["1998"]]}},"locator":"5","label":"chapter","suppress-author":true}],"schema":"https://github.com/citation-style-language/schema/raw/master/csl-citation.json"} </w:instrText>
      </w:r>
      <w:r>
        <w:fldChar w:fldCharType="separate"/>
      </w:r>
      <w:r w:rsidRPr="00B50E08">
        <w:rPr>
          <w:rFonts w:ascii="Calibri" w:cs="Calibri"/>
          <w:i/>
          <w:iCs/>
          <w:kern w:val="0"/>
          <w:lang w:val="en-GB"/>
        </w:rPr>
        <w:t>The Ethics of Liberty</w:t>
      </w:r>
      <w:r w:rsidRPr="00B50E08">
        <w:rPr>
          <w:rFonts w:ascii="Calibri" w:cs="Calibri"/>
          <w:kern w:val="0"/>
          <w:lang w:val="en-GB"/>
        </w:rPr>
        <w:t xml:space="preserve">, </w:t>
      </w:r>
      <w:proofErr w:type="spellStart"/>
      <w:r w:rsidRPr="00B50E08">
        <w:rPr>
          <w:rFonts w:ascii="Calibri" w:cs="Calibri"/>
          <w:kern w:val="0"/>
          <w:lang w:val="en-GB"/>
        </w:rPr>
        <w:t>ch.</w:t>
      </w:r>
      <w:proofErr w:type="spellEnd"/>
      <w:r w:rsidRPr="00B50E08">
        <w:rPr>
          <w:rFonts w:ascii="Calibri" w:cs="Calibri"/>
          <w:kern w:val="0"/>
          <w:lang w:val="en-GB"/>
        </w:rPr>
        <w:t xml:space="preserve"> 5.</w:t>
      </w:r>
      <w:r>
        <w:fldChar w:fldCharType="end"/>
      </w:r>
    </w:p>
  </w:footnote>
  <w:footnote w:id="29">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{"citationID":"aKZhd93f","properties":{"formattedCitation":"{\\i{}The Ethics of Liberty}, chs 6\\uc0\\u8211{}9.","plainCitation":"The Ethics of Liberty, chs 6–9.","noteIndex":29},"citationItems":[{"id":108,"uris":["http://zotero.org/users/6238250/items/L2A34JC4"],"itemData":{"id":108,"type":"book","publisher":"New York University Press","publisher-place":"New York","title":"The Ethics of Liberty","author":[{"family":"Rothbard","given":"Murray N."}],"issued":{"date-parts":[["1998"]]}},"locator":"6-9","label":"chapter","suppress-author":true}],"schema":"https://github.com/citation-style-language/schema/raw/master/csl-citation.json"} </w:instrText>
      </w:r>
      <w:r>
        <w:fldChar w:fldCharType="separate"/>
      </w:r>
      <w:r w:rsidRPr="00B50E08">
        <w:rPr>
          <w:rFonts w:ascii="Calibri" w:cs="Calibri"/>
          <w:i/>
          <w:iCs/>
          <w:kern w:val="0"/>
          <w:lang w:val="en-GB"/>
        </w:rPr>
        <w:t>The Ethics of Liberty</w:t>
      </w:r>
      <w:r w:rsidRPr="00B50E08">
        <w:rPr>
          <w:rFonts w:ascii="Calibri" w:cs="Calibri"/>
          <w:kern w:val="0"/>
          <w:lang w:val="en-GB"/>
        </w:rPr>
        <w:t xml:space="preserve">, </w:t>
      </w:r>
      <w:proofErr w:type="spellStart"/>
      <w:r w:rsidRPr="00B50E08">
        <w:rPr>
          <w:rFonts w:ascii="Calibri" w:cs="Calibri"/>
          <w:kern w:val="0"/>
          <w:lang w:val="en-GB"/>
        </w:rPr>
        <w:t>chs</w:t>
      </w:r>
      <w:proofErr w:type="spellEnd"/>
      <w:r w:rsidRPr="00B50E08">
        <w:rPr>
          <w:rFonts w:ascii="Calibri" w:cs="Calibri"/>
          <w:kern w:val="0"/>
          <w:lang w:val="en-GB"/>
        </w:rPr>
        <w:t xml:space="preserve"> 6–9.</w:t>
      </w:r>
      <w:r>
        <w:fldChar w:fldCharType="end"/>
      </w:r>
    </w:p>
  </w:footnote>
  <w:footnote w:id="30">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{"citationID":"inMRhubl","properties":{"formattedCitation":"{\\i{}The Ethics of Liberty}, 34.","plainCitation":"The Ethics of Liberty, 34.","noteIndex":30},"citationItems":[{"id":108,"uris":["http://zotero.org/users/6238250/items/L2A34JC4"],"itemData":{"id":108,"type":"book","publisher":"New York University Press","publisher-place":"New York","title":"The Ethics of Liberty","author":[{"family":"Rothbard","given":"Murray N."}],"issued":{"date-parts":[["1998"]]}},"locator":"34","label":"page","suppress-author":true}],"schema":"https://github.com/citation-style-language/schema/raw/master/csl-citation.json"} </w:instrText>
      </w:r>
      <w:r>
        <w:fldChar w:fldCharType="separate"/>
      </w:r>
      <w:r w:rsidRPr="00B50E08">
        <w:rPr>
          <w:rFonts w:ascii="Calibri" w:cs="Calibri"/>
          <w:i/>
          <w:iCs/>
          <w:kern w:val="0"/>
          <w:lang w:val="en-GB"/>
        </w:rPr>
        <w:t>The Ethics of Liberty</w:t>
      </w:r>
      <w:r w:rsidRPr="00B50E08">
        <w:rPr>
          <w:rFonts w:ascii="Calibri" w:cs="Calibri"/>
          <w:kern w:val="0"/>
          <w:lang w:val="en-GB"/>
        </w:rPr>
        <w:t>, 34.</w:t>
      </w:r>
      <w:r>
        <w:fldChar w:fldCharType="end"/>
      </w:r>
    </w:p>
  </w:footnote>
  <w:footnote w:id="31">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{"citationID":"6xAF2xI6","properties":{"formattedCitation":"{\\i{}The Ethics of Liberty}, chs 12\\uc0\\u8211{}13.","plainCitation":"The Ethics of Liberty, chs 12–13.","noteIndex":31},"citationItems":[{"id":108,"uris":["http://zotero.org/users/6238250/items/L2A34JC4"],"itemData":{"id":108,"type":"book","publisher":"New York University Press","publisher-place":"New York","title":"The Ethics of Liberty","author":[{"family":"Rothbard","given":"Murray N."}],"issued":{"date-parts":[["1998"]]}},"locator":"12-13","label":"chapter","suppress-author":true}],"schema":"https://github.com/citation-style-language/schema/raw/master/csl-citation.json"} </w:instrText>
      </w:r>
      <w:r>
        <w:fldChar w:fldCharType="separate"/>
      </w:r>
      <w:r w:rsidRPr="00B50E08">
        <w:rPr>
          <w:rFonts w:ascii="Calibri" w:cs="Calibri"/>
          <w:i/>
          <w:iCs/>
          <w:kern w:val="0"/>
          <w:lang w:val="en-GB"/>
        </w:rPr>
        <w:t>The Ethics of Liberty</w:t>
      </w:r>
      <w:r w:rsidRPr="00B50E08">
        <w:rPr>
          <w:rFonts w:ascii="Calibri" w:cs="Calibri"/>
          <w:kern w:val="0"/>
          <w:lang w:val="en-GB"/>
        </w:rPr>
        <w:t xml:space="preserve">, </w:t>
      </w:r>
      <w:proofErr w:type="spellStart"/>
      <w:r w:rsidRPr="00B50E08">
        <w:rPr>
          <w:rFonts w:ascii="Calibri" w:cs="Calibri"/>
          <w:kern w:val="0"/>
          <w:lang w:val="en-GB"/>
        </w:rPr>
        <w:t>chs</w:t>
      </w:r>
      <w:proofErr w:type="spellEnd"/>
      <w:r w:rsidRPr="00B50E08">
        <w:rPr>
          <w:rFonts w:ascii="Calibri" w:cs="Calibri"/>
          <w:kern w:val="0"/>
          <w:lang w:val="en-GB"/>
        </w:rPr>
        <w:t xml:space="preserve"> 12–13.</w:t>
      </w:r>
      <w:r>
        <w:fldChar w:fldCharType="end"/>
      </w:r>
    </w:p>
  </w:footnote>
  <w:footnote w:id="32">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{"citationID":"fpbh5jv3","properties":{"formattedCitation":"also see Samuel C. III Wheeler, \\uc0\\u8216{}Natural Property Rights and Body Rights\\uc0\\u8217{}, {\\i{}No\\uc0\\u251{}s} 14 (1980): 171\\uc0\\u8211{}93.","plainCitation":"also see Samuel C. III Wheeler, ‘Natural Property Rights and Body Rights’, Noûs 14 (1980): 171–93.","noteIndex":32},"citationItems":[{"id":773,"uris":["http://zotero.org/users/6238250/items/P75QJ2H6"],"itemData":{"id":773,"type":"article-journal","container-title":"Noûs","page":"171-193","title":"Natural Property Rights and Body Rights","volume":"14","author":[{"family":"Wheeler","given":"Samuel C. III"}],"issued":{"date-parts":[["1980"]]}},"prefix":"also see"}],"schema":"https://github.com/citation-style-language/schema/raw/master/csl-citation.json"} </w:instrText>
      </w:r>
      <w:r>
        <w:fldChar w:fldCharType="separate"/>
      </w:r>
      <w:r>
        <w:rPr>
          <w:rFonts w:ascii="Calibri" w:cs="Calibri"/>
          <w:kern w:val="0"/>
          <w:lang w:val="en-GB"/>
        </w:rPr>
        <w:t>A</w:t>
      </w:r>
      <w:r w:rsidRPr="00B50E08">
        <w:rPr>
          <w:rFonts w:ascii="Calibri" w:cs="Calibri"/>
          <w:kern w:val="0"/>
          <w:lang w:val="en-GB"/>
        </w:rPr>
        <w:t xml:space="preserve">lso see Samuel C. III Wheeler, ‘Natural Property Rights and Body Rights’, </w:t>
      </w:r>
      <w:proofErr w:type="spellStart"/>
      <w:r w:rsidRPr="00B50E08">
        <w:rPr>
          <w:rFonts w:ascii="Calibri" w:cs="Calibri"/>
          <w:i/>
          <w:iCs/>
          <w:kern w:val="0"/>
          <w:lang w:val="en-GB"/>
        </w:rPr>
        <w:t>Noûs</w:t>
      </w:r>
      <w:proofErr w:type="spellEnd"/>
      <w:r w:rsidRPr="00B50E08">
        <w:rPr>
          <w:rFonts w:ascii="Calibri" w:cs="Calibri"/>
          <w:kern w:val="0"/>
          <w:lang w:val="en-GB"/>
        </w:rPr>
        <w:t xml:space="preserve"> 14 (1980): 171–93.</w:t>
      </w:r>
      <w:r>
        <w:fldChar w:fldCharType="end"/>
      </w:r>
    </w:p>
  </w:footnote>
  <w:footnote w:id="33">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{"citationID":"zwiZvN6T","properties":{"formattedCitation":"Billy Christmas, \\uc0\\u8216{}Rescuing the Libertarian Non-Aggression Principle\\uc0\\u8217{}, {\\i{}Moral Philosophy and Politics} 5, no. 2 (2018): 305\\uc0\\u8211{}22; cf. Matt Zwolinski, \\uc0\\u8216{}The Libertarian Nonaggression Principle\\uc0\\u8217{}, {\\i{}Social Philosophy and Policy} 32, no. 2 (2016): 62\\uc0\\u8211{}90.","plainCitation":"Billy Christmas, ‘Rescuing the Libertarian Non-Aggression Principle’, Moral Philosophy and Politics 5, no. 2 (2018): 305–22; cf. Matt Zwolinski, ‘The Libertarian Nonaggression Principle’, Social Philosophy and Policy 32, no. 2 (2016): 62–90.","noteIndex":33},"citationItems":[{"id":136,"uris":["http://zotero.org/users/6238250/items/APDWHX77"],"itemData":{"id":136,"type":"article-journal","container-title":"Moral Philosophy and Politics","issue":"2","page":"305-322","title":"Rescuing the Libertarian Non-Aggression Principle","volume":"5","author":[{"family":"Christmas","given":"Billy"}],"issued":{"date-parts":[["2018"]]}}},{"id":496,"uris":["http://zotero.org/users/6238250/items/FQNWUE97"],"itemData":{"id":496,"type":"article-journal","container-title":"Social Philosophy and Policy","issue":"2","page":"62-90","title":"The Libertarian Nonaggression Principle","volume":"32","author":[{"family":"Zwolinski","given":"Matt"}],"issued":{"date-parts":[["2016"]]}},"prefix":"cf."}],"schema":"https://github.com/citation-style-language/schema/raw/master/csl-citation.json"} </w:instrText>
      </w:r>
      <w:r>
        <w:fldChar w:fldCharType="separate"/>
      </w:r>
      <w:r w:rsidRPr="00B50E08">
        <w:rPr>
          <w:rFonts w:ascii="Calibri" w:cs="Calibri"/>
          <w:kern w:val="0"/>
          <w:lang w:val="en-GB"/>
        </w:rPr>
        <w:t xml:space="preserve">Billy Christmas, ‘Rescuing the Libertarian Non-Aggression Principle’, </w:t>
      </w:r>
      <w:r w:rsidRPr="00B50E08">
        <w:rPr>
          <w:rFonts w:ascii="Calibri" w:cs="Calibri"/>
          <w:i/>
          <w:iCs/>
          <w:kern w:val="0"/>
          <w:lang w:val="en-GB"/>
        </w:rPr>
        <w:t>Moral Philosophy and Politics</w:t>
      </w:r>
      <w:r w:rsidRPr="00B50E08">
        <w:rPr>
          <w:rFonts w:ascii="Calibri" w:cs="Calibri"/>
          <w:kern w:val="0"/>
          <w:lang w:val="en-GB"/>
        </w:rPr>
        <w:t xml:space="preserve"> 5, no. 2 (2018): 305–22; cf. Matt Zwolinski, ‘The Libertarian Nonaggression Principle’, </w:t>
      </w:r>
      <w:r w:rsidRPr="00B50E08">
        <w:rPr>
          <w:rFonts w:ascii="Calibri" w:cs="Calibri"/>
          <w:i/>
          <w:iCs/>
          <w:kern w:val="0"/>
          <w:lang w:val="en-GB"/>
        </w:rPr>
        <w:t>Social Philosophy and Policy</w:t>
      </w:r>
      <w:r w:rsidRPr="00B50E08">
        <w:rPr>
          <w:rFonts w:ascii="Calibri" w:cs="Calibri"/>
          <w:kern w:val="0"/>
          <w:lang w:val="en-GB"/>
        </w:rPr>
        <w:t xml:space="preserve"> 32, no. 2 (2016): 62–90.</w:t>
      </w:r>
      <w:r>
        <w:fldChar w:fldCharType="end"/>
      </w:r>
    </w:p>
  </w:footnote>
  <w:footnote w:id="34">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{"citationID":"nn7FDHDg","properties":{"formattedCitation":"{\\i{}The Theory of Social and Economic Organization}, trans. A. M. Henderson and Talcott Parsons (Oxford University Press, 1947); Max Weber, \\uc0\\u8216{}Politics as a Vocation\\uc0\\u8217{}, in {\\i{}Essays in Sociology}, trans. H. H. Gerth and C. Wright Mills (Routledge and Kegan Paul, 1948).","plainCitation":"The Theory of Social and Economic Organization, trans. A. M. Henderson and Talcott Parsons (Oxford University Press, 1947); Max Weber, ‘Politics as a Vocation’, in Essays in Sociology, trans. H. H. Gerth and C. Wright Mills (Routledge and Kegan Paul, 1948).","noteIndex":34},"citationItems":[{"id":1064,"uris":["http://zotero.org/users/6238250/items/3MSPWLXC"],"itemData":{"id":1064,"type":"book","publisher":"Oxford University Press","title":"The Theory of Social and Economic Organization","author":[{"family":"Weber","given":"Max"}],"translator":[{"family":"Henderson","given":"A. M."},{"family":"Parsons","given":"Talcott"}],"issued":{"date-parts":[["1947"]]}},"suppress-author":true},{"id":761,"uris":["http://zotero.org/users/6238250/items/YZIN8GAY"],"itemData":{"id":761,"type":"chapter","container-title":"Essays in Sociology","publisher":"Routledge and Kegan Paul","title":"Politics as a Vocation","author":[{"family":"Weber","given":"Max"}],"translator":[{"family":"Gerth","given":"H. H."},{"family":"Wright Mills","given":"C."}],"issued":{"date-parts":[["1948"]],"season":"1967"}}}],"schema":"https://github.com/citation-style-language/schema/raw/master/csl-citation.json"} </w:instrText>
      </w:r>
      <w:r>
        <w:fldChar w:fldCharType="separate"/>
      </w:r>
      <w:r w:rsidRPr="00B50E08">
        <w:rPr>
          <w:rFonts w:ascii="Calibri" w:cs="Calibri"/>
          <w:i/>
          <w:iCs/>
          <w:kern w:val="0"/>
          <w:lang w:val="en-GB"/>
        </w:rPr>
        <w:t>The Theory of Social and Economic Organization</w:t>
      </w:r>
      <w:r w:rsidRPr="00B50E08">
        <w:rPr>
          <w:rFonts w:ascii="Calibri" w:cs="Calibri"/>
          <w:kern w:val="0"/>
          <w:lang w:val="en-GB"/>
        </w:rPr>
        <w:t xml:space="preserve">, trans. A. M. Henderson and Talcott Parsons (Oxford University Press, 1947); Max Weber, ‘Politics as a Vocation’, in </w:t>
      </w:r>
      <w:r w:rsidRPr="00B50E08">
        <w:rPr>
          <w:rFonts w:ascii="Calibri" w:cs="Calibri"/>
          <w:i/>
          <w:iCs/>
          <w:kern w:val="0"/>
          <w:lang w:val="en-GB"/>
        </w:rPr>
        <w:t>Essays in Sociology</w:t>
      </w:r>
      <w:r w:rsidRPr="00B50E08">
        <w:rPr>
          <w:rFonts w:ascii="Calibri" w:cs="Calibri"/>
          <w:kern w:val="0"/>
          <w:lang w:val="en-GB"/>
        </w:rPr>
        <w:t>, trans. H. H. Gerth and C. Wright Mills (Routledge and Kegan Paul, 1948).</w:t>
      </w:r>
      <w:r>
        <w:fldChar w:fldCharType="end"/>
      </w:r>
    </w:p>
  </w:footnote>
  <w:footnote w:id="35">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{"citationID":"AW2HhjqE","properties":{"unsorted":true,"formattedCitation":"{\\i{}The Ethics of Liberty}, 161\\uc0\\u8211{}62; also see Rothbard, \\uc0\\u8216{}Anatomy of the State\\uc0\\u8217{}.","plainCitation":"The Ethics of Liberty, 161–62; also see Rothbard, ‘Anatomy of the State’.","noteIndex":35},"citationItems":[{"id":108,"uris":["http://zotero.org/users/6238250/items/L2A34JC4"],"itemData":{"id":108,"type":"book","publisher":"New York University Press","publisher-place":"New York","title":"The Ethics of Liberty","author":[{"family":"Rothbard","given":"Murray N."}],"issued":{"date-parts":[["1998"]]}},"locator":"161-162","label":"page","suppress-author":true},{"id":1330,"uris":["http://zotero.org/users/6238250/items/HXN7MCAK"],"itemData":{"id":1330,"type":"chapter","container-title":"Egalitarianism as a Revolt Against Nature and Other Essays","publisher":"Libertarian Review Press","title":"Anatomy of the State","author":[{"family":"Rothbard","given":"Murray N."}],"editor":[{"family":"Childs","given":"Roy A."}],"issued":{"date-parts":[["1974"]]}},"prefix":"also see"}],"schema":"https://github.com/citation-style-language/schema/raw/master/csl-citation.json"} </w:instrText>
      </w:r>
      <w:r>
        <w:fldChar w:fldCharType="separate"/>
      </w:r>
      <w:r w:rsidRPr="00B50E08">
        <w:rPr>
          <w:rFonts w:ascii="Calibri" w:cs="Calibri"/>
          <w:i/>
          <w:iCs/>
          <w:kern w:val="0"/>
          <w:lang w:val="en-GB"/>
        </w:rPr>
        <w:t>The Ethics of Liberty</w:t>
      </w:r>
      <w:r w:rsidRPr="00B50E08">
        <w:rPr>
          <w:rFonts w:ascii="Calibri" w:cs="Calibri"/>
          <w:kern w:val="0"/>
          <w:lang w:val="en-GB"/>
        </w:rPr>
        <w:t>, 161–62; also see Rothbard, ‘Anatomy of the State’.</w:t>
      </w:r>
      <w:r>
        <w:fldChar w:fldCharType="end"/>
      </w:r>
    </w:p>
  </w:footnote>
  <w:footnote w:id="36">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{"citationID":"8FaebITl","properties":{"formattedCitation":"{\\i{}No Treason No. VI: The Constitution of No Authority} (Self-Published, 1870).","plainCitation":"No Treason No. VI: The Constitution of No Authority (Self-Published, 1870).","noteIndex":36},"citationItems":[{"id":696,"uris":["http://zotero.org/users/6238250/items/IB2CUEAY"],"itemData":{"id":696,"type":"book","publisher":"Self-Published","publisher-place":"Boston","title":"No Treason No. VI: The Constitution of No Authority","author":[{"family":"Spooner","given":"Lysander"}],"issued":{"date-parts":[["1870"]]}},"suppress-author":true}],"schema":"https://github.com/citation-style-language/schema/raw/master/csl-citation.json"} </w:instrText>
      </w:r>
      <w:r>
        <w:fldChar w:fldCharType="separate"/>
      </w:r>
      <w:r w:rsidRPr="00B50E08">
        <w:rPr>
          <w:rFonts w:ascii="Calibri" w:cs="Calibri"/>
          <w:i/>
          <w:iCs/>
          <w:kern w:val="0"/>
          <w:lang w:val="en-GB"/>
        </w:rPr>
        <w:t>No Treason No. VI: The Constitution of No Authority</w:t>
      </w:r>
      <w:r w:rsidRPr="00B50E08">
        <w:rPr>
          <w:rFonts w:ascii="Calibri" w:cs="Calibri"/>
          <w:kern w:val="0"/>
          <w:lang w:val="en-GB"/>
        </w:rPr>
        <w:t xml:space="preserve"> (Self-Published, 1870).</w:t>
      </w:r>
      <w:r>
        <w:fldChar w:fldCharType="end"/>
      </w:r>
    </w:p>
  </w:footnote>
  <w:footnote w:id="37">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{"citationID":"Aqt8N7T9","properties":{"formattedCitation":"{\\i{}Power and Market}.","plainCitation":"Power and Market.","noteIndex":37},"citationItems":[{"id":1341,"uris":["http://zotero.org/users/6238250/items/ESMTKH6Q"],"itemData":{"id":1341,"type":"book","publisher":"Institute for Humane Studies","title":"Power and Market","author":[{"family":"Rothbard","given":"Murray N."}],"issued":{"date-parts":[["1970"]]}},"suppress-author":true}],"schema":"https://github.com/citation-style-language/schema/raw/master/csl-citation.json"} </w:instrText>
      </w:r>
      <w:r>
        <w:fldChar w:fldCharType="separate"/>
      </w:r>
      <w:r w:rsidRPr="00B50E08">
        <w:rPr>
          <w:rFonts w:ascii="Calibri" w:cs="Calibri"/>
          <w:i/>
          <w:iCs/>
          <w:kern w:val="0"/>
          <w:lang w:val="en-GB"/>
        </w:rPr>
        <w:t>Power and Market</w:t>
      </w:r>
      <w:r w:rsidRPr="00B50E08">
        <w:rPr>
          <w:rFonts w:ascii="Calibri" w:cs="Calibri"/>
          <w:kern w:val="0"/>
          <w:lang w:val="en-GB"/>
        </w:rPr>
        <w:t>.</w:t>
      </w:r>
      <w:r>
        <w:fldChar w:fldCharType="end"/>
      </w:r>
    </w:p>
  </w:footnote>
  <w:footnote w:id="38">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{"citationID":"MGBBVVW3","properties":{"formattedCitation":"Benjamin R. Tucker, {\\i{}Instead of A Book, By A Man Too Busy to Write One} (Benjamin R. Tucker, 1888).","plainCitation":"Benjamin R. Tucker, Instead of A Book, By A Man Too Busy to Write One (Benjamin R. Tucker, 1888).","noteIndex":38},"citationItems":[{"id":697,"uris":["http://zotero.org/users/6238250/items/CHRJ5JJ8"],"itemData":{"id":697,"type":"book","publisher":"Benjamin R. Tucker","publisher-place":"Boston","title":"Instead of A Book, By A Man Too Busy to Write One","author":[{"family":"Tucker","given":"Benjamin R."}],"issued":{"date-parts":[["1888"]]}}}],"schema":"https://github.com/citation-style-language/schema/raw/master/csl-citation.json"} </w:instrText>
      </w:r>
      <w:r>
        <w:fldChar w:fldCharType="separate"/>
      </w:r>
      <w:r w:rsidRPr="00B50E08">
        <w:rPr>
          <w:rFonts w:ascii="Calibri" w:cs="Calibri"/>
          <w:kern w:val="0"/>
          <w:lang w:val="en-GB"/>
        </w:rPr>
        <w:t xml:space="preserve">Benjamin R. Tucker, </w:t>
      </w:r>
      <w:r w:rsidRPr="00B50E08">
        <w:rPr>
          <w:rFonts w:ascii="Calibri" w:cs="Calibri"/>
          <w:i/>
          <w:iCs/>
          <w:kern w:val="0"/>
          <w:lang w:val="en-GB"/>
        </w:rPr>
        <w:t>Instead of A Book, By A Man Too Busy to Write One</w:t>
      </w:r>
      <w:r w:rsidRPr="00B50E08">
        <w:rPr>
          <w:rFonts w:ascii="Calibri" w:cs="Calibri"/>
          <w:kern w:val="0"/>
          <w:lang w:val="en-GB"/>
        </w:rPr>
        <w:t xml:space="preserve"> (Benjamin R. Tucker, 1888).</w:t>
      </w:r>
      <w:r>
        <w:fldChar w:fldCharType="end"/>
      </w:r>
    </w:p>
  </w:footnote>
  <w:footnote w:id="39">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{"citationID":"rOS7wJrY","properties":{"formattedCitation":"Brink Lindsey and Steven M. Teles, {\\i{}The Captured Economy: How the Powerful Enrich Themselves, Slow Down Growth, and Increase Inequality} (Oxford University Press, 2017); Matthew Mitchell, {\\i{}The Pathology of Privilege: The Economic Consequences of Government Favouritism} (Mercatus Center at George Mason University, 2015).","plainCitation":"Brink Lindsey and Steven M. Teles, The Captured Economy: How the Powerful Enrich Themselves, Slow Down Growth, and Increase Inequality (Oxford University Press, 2017); Matthew Mitchell, The Pathology of Privilege: The Economic Consequences of Government Favouritism (Mercatus Center at George Mason University, 2015).","noteIndex":39},"citationItems":[{"id":1345,"uris":["http://zotero.org/users/6238250/items/BMR4DNE5"],"itemData":{"id":1345,"type":"book","publisher":"Oxford University Press","title":"The Captured Economy: How the Powerful Enrich Themselves, Slow Down Growth, and Increase Inequality","author":[{"family":"Lindsey","given":"Brink"},{"family":"Teles","given":"Steven M."}],"issued":{"date-parts":[["2017"]]}}},{"id":1344,"uris":["http://zotero.org/users/6238250/items/TSYXSXKM"],"itemData":{"id":1344,"type":"book","publisher":"Mercatus Center at George Mason University","title":"The Pathology of Privilege: The Economic Consequences of Government Favouritism","author":[{"family":"Mitchell","given":"Matthew"}],"issued":{"date-parts":[["2015"]]}}}],"schema":"https://github.com/citation-style-language/schema/raw/master/csl-citation.json"} </w:instrText>
      </w:r>
      <w:r>
        <w:fldChar w:fldCharType="separate"/>
      </w:r>
      <w:r w:rsidRPr="00B50E08">
        <w:rPr>
          <w:rFonts w:ascii="Calibri" w:cs="Calibri"/>
          <w:kern w:val="0"/>
          <w:lang w:val="en-GB"/>
        </w:rPr>
        <w:t xml:space="preserve">Brink Lindsey and Steven M. Teles, </w:t>
      </w:r>
      <w:r w:rsidRPr="00B50E08">
        <w:rPr>
          <w:rFonts w:ascii="Calibri" w:cs="Calibri"/>
          <w:i/>
          <w:iCs/>
          <w:kern w:val="0"/>
          <w:lang w:val="en-GB"/>
        </w:rPr>
        <w:t>The Captured Economy: How the Powerful Enrich Themselves, Slow Down Growth, and Increase Inequality</w:t>
      </w:r>
      <w:r w:rsidRPr="00B50E08">
        <w:rPr>
          <w:rFonts w:ascii="Calibri" w:cs="Calibri"/>
          <w:kern w:val="0"/>
          <w:lang w:val="en-GB"/>
        </w:rPr>
        <w:t xml:space="preserve"> (Oxford University Press, 2017); Matthew Mitchell, </w:t>
      </w:r>
      <w:r w:rsidRPr="00B50E08">
        <w:rPr>
          <w:rFonts w:ascii="Calibri" w:cs="Calibri"/>
          <w:i/>
          <w:iCs/>
          <w:kern w:val="0"/>
          <w:lang w:val="en-GB"/>
        </w:rPr>
        <w:t>The Pathology of Privilege: The Economic Consequences of Government Favouritism</w:t>
      </w:r>
      <w:r w:rsidRPr="00B50E08">
        <w:rPr>
          <w:rFonts w:ascii="Calibri" w:cs="Calibri"/>
          <w:kern w:val="0"/>
          <w:lang w:val="en-GB"/>
        </w:rPr>
        <w:t xml:space="preserve"> (Mercatus </w:t>
      </w:r>
      <w:proofErr w:type="spellStart"/>
      <w:r w:rsidRPr="00B50E08">
        <w:rPr>
          <w:rFonts w:ascii="Calibri" w:cs="Calibri"/>
          <w:kern w:val="0"/>
          <w:lang w:val="en-GB"/>
        </w:rPr>
        <w:t>Center</w:t>
      </w:r>
      <w:proofErr w:type="spellEnd"/>
      <w:r w:rsidRPr="00B50E08">
        <w:rPr>
          <w:rFonts w:ascii="Calibri" w:cs="Calibri"/>
          <w:kern w:val="0"/>
          <w:lang w:val="en-GB"/>
        </w:rPr>
        <w:t xml:space="preserve"> at George Mason University, 2015).</w:t>
      </w:r>
      <w:r>
        <w:fldChar w:fldCharType="end"/>
      </w:r>
    </w:p>
  </w:footnote>
  <w:footnote w:id="40">
    <w:p w:rsidR="003B3173" w:rsidRPr="003B3173" w:rsidRDefault="003B3173">
      <w:pPr>
        <w:pStyle w:val="FootnoteText"/>
        <w:rPr>
          <w:lang w:val="en-GB"/>
        </w:rPr>
      </w:pPr>
      <w:r>
        <w:rPr>
          <w:rStyle w:val="FootnoteReference"/>
        </w:rPr>
        <w:footnoteRef/>
      </w:r>
      <w:r>
        <w:t xml:space="preserve"> </w:t>
      </w:r>
      <w:r>
        <w:rPr>
          <w:lang w:val="en-GB"/>
        </w:rPr>
        <w:t xml:space="preserve">Though Milton Friedman must firmly be credited with this too </w:t>
      </w:r>
      <w:proofErr w:type="spellStart"/>
      <w:r>
        <w:rPr>
          <w:lang w:val="en-GB"/>
        </w:rPr>
        <w:t>n</w:t>
      </w:r>
      <w:r>
        <w:rPr>
          <w:lang w:val="en-GB"/>
        </w:rPr>
        <w:fldChar w:fldCharType="begin"/>
      </w:r>
      <w:r w:rsidR="00B50E08">
        <w:rPr>
          <w:lang w:val="en-GB"/>
        </w:rPr>
        <w:instrText xml:space="preserve"> ADDIN ZOTERO_ITEM CSL_CITATION {"citationID":"f89DfHcv","properties":{"formattedCitation":"{\\i{}Capitalism and Freedom} (University of Chicago Press, 1962), chs 8\\uc0\\u8211{}9.","plainCitation":"Capitalism and Freedom (University of Chicago Press, 1962), chs 8–9.","noteIndex":40},"citationItems":[{"id":1346,"uris":["http://zotero.org/users/6238250/items/XP6CS26W"],"itemData":{"id":1346,"type":"book","publisher":"University of Chicago Press","title":"Capitalism and Freedom","author":[{"family":"Friedman","given":"Milton"}],"issued":{"date-parts":[["1962"]]}},"locator":"8-9","label":"chapter","suppress-author":true}],"schema":"https://github.com/citation-style-language/schema/raw/master/csl-citation.json"} </w:instrText>
      </w:r>
      <w:r>
        <w:rPr>
          <w:lang w:val="en-GB"/>
        </w:rPr>
        <w:fldChar w:fldCharType="separate"/>
      </w:r>
      <w:r w:rsidR="00B50E08" w:rsidRPr="00B50E08">
        <w:rPr>
          <w:rFonts w:ascii="Calibri" w:cs="Calibri"/>
          <w:i/>
          <w:iCs/>
          <w:kern w:val="0"/>
          <w:lang w:val="en-GB"/>
        </w:rPr>
        <w:t>Capitalism</w:t>
      </w:r>
      <w:proofErr w:type="spellEnd"/>
      <w:r w:rsidR="00B50E08" w:rsidRPr="00B50E08">
        <w:rPr>
          <w:rFonts w:ascii="Calibri" w:cs="Calibri"/>
          <w:i/>
          <w:iCs/>
          <w:kern w:val="0"/>
          <w:lang w:val="en-GB"/>
        </w:rPr>
        <w:t xml:space="preserve"> and Freedom</w:t>
      </w:r>
      <w:r w:rsidR="00B50E08" w:rsidRPr="00B50E08">
        <w:rPr>
          <w:rFonts w:ascii="Calibri" w:cs="Calibri"/>
          <w:kern w:val="0"/>
          <w:lang w:val="en-GB"/>
        </w:rPr>
        <w:t xml:space="preserve"> (University of Chicago Press, 1962), </w:t>
      </w:r>
      <w:proofErr w:type="spellStart"/>
      <w:r w:rsidR="00B50E08" w:rsidRPr="00B50E08">
        <w:rPr>
          <w:rFonts w:ascii="Calibri" w:cs="Calibri"/>
          <w:kern w:val="0"/>
          <w:lang w:val="en-GB"/>
        </w:rPr>
        <w:t>chs</w:t>
      </w:r>
      <w:proofErr w:type="spellEnd"/>
      <w:r w:rsidR="00B50E08" w:rsidRPr="00B50E08">
        <w:rPr>
          <w:rFonts w:ascii="Calibri" w:cs="Calibri"/>
          <w:kern w:val="0"/>
          <w:lang w:val="en-GB"/>
        </w:rPr>
        <w:t xml:space="preserve"> 8–9.</w:t>
      </w:r>
      <w:r>
        <w:rPr>
          <w:lang w:val="en-GB"/>
        </w:rPr>
        <w:fldChar w:fldCharType="end"/>
      </w:r>
    </w:p>
  </w:footnote>
  <w:footnote w:id="41">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{"citationID":"gO1yCgbu","properties":{"formattedCitation":"Gary Chartier and Charles W. Johnson, eds, {\\i{}Markets Not Capitalism: Individualist Anarchism Against Bosses, Inequality, Corporate Power, and Structural Poverty} (Minor Compositions, 2010).","plainCitation":"Gary Chartier and Charles W. Johnson, eds, Markets Not Capitalism: Individualist Anarchism Against Bosses, Inequality, Corporate Power, and Structural Poverty (Minor Compositions, 2010).","noteIndex":41},"citationItems":[{"id":1235,"uris":["http://zotero.org/users/6238250/items/DQP2W7BI"],"itemData":{"id":1235,"type":"book","publisher":"Minor Compositions","title":"Markets Not Capitalism: Individualist Anarchism Against Bosses, Inequality, Corporate Power, and Structural Poverty","editor":[{"family":"Chartier","given":"Gary"},{"family":"Johnson","given":"Charles W."}],"issued":{"date-parts":[["2010"]]}}}],"schema":"https://github.com/citation-style-language/schema/raw/master/csl-citation.json"} </w:instrText>
      </w:r>
      <w:r>
        <w:fldChar w:fldCharType="separate"/>
      </w:r>
      <w:r w:rsidRPr="00B50E08">
        <w:rPr>
          <w:rFonts w:ascii="Calibri" w:cs="Calibri"/>
          <w:kern w:val="0"/>
          <w:lang w:val="en-GB"/>
        </w:rPr>
        <w:t xml:space="preserve">Gary Chartier and Charles W. Johnson, eds, </w:t>
      </w:r>
      <w:r w:rsidRPr="00B50E08">
        <w:rPr>
          <w:rFonts w:ascii="Calibri" w:cs="Calibri"/>
          <w:i/>
          <w:iCs/>
          <w:kern w:val="0"/>
          <w:lang w:val="en-GB"/>
        </w:rPr>
        <w:t>Markets Not Capitalism: Individualist Anarchism Against Bosses, Inequality, Corporate Power, and Structural Poverty</w:t>
      </w:r>
      <w:r w:rsidRPr="00B50E08">
        <w:rPr>
          <w:rFonts w:ascii="Calibri" w:cs="Calibri"/>
          <w:kern w:val="0"/>
          <w:lang w:val="en-GB"/>
        </w:rPr>
        <w:t xml:space="preserve"> (Minor Compositions, 2010).</w:t>
      </w:r>
      <w:r>
        <w:fldChar w:fldCharType="end"/>
      </w:r>
    </w:p>
  </w:footnote>
  <w:footnote w:id="42">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{"citationID":"UUdjtef8","properties":{"formattedCitation":"Roderick T. Long, \\uc0\\u8216{}Left-Libertarianism, Market Anarchism, Class Conflict, and Historical Theories of Distributive Justice\\uc0\\u8217{}, {\\i{}Griffith Law Review} 2, no. 12 (2012): 413\\uc0\\u8211{}31.","plainCitation":"Roderick T. Long, ‘Left-Libertarianism, Market Anarchism, Class Conflict, and Historical Theories of Distributive Justice’, Griffith Law Review 2, no. 12 (2012): 413–31.","noteIndex":42},"citationItems":[{"id":507,"uris":["http://zotero.org/users/6238250/items/FEWYA3NI"],"itemData":{"id":507,"type":"article-journal","container-title":"Griffith Law Review","issue":"12","page":"413-431","title":"Left-Libertarianism, Market Anarchism, Class Conflict, and Historical Theories of Distributive Justice","volume":"2","author":[{"family":"Long","given":"Roderick T."}],"issued":{"date-parts":[["2012"]]}}}],"schema":"https://github.com/citation-style-language/schema/raw/master/csl-citation.json"} </w:instrText>
      </w:r>
      <w:r>
        <w:fldChar w:fldCharType="separate"/>
      </w:r>
      <w:r w:rsidRPr="00B50E08">
        <w:rPr>
          <w:rFonts w:ascii="Calibri" w:cs="Calibri"/>
          <w:kern w:val="0"/>
          <w:lang w:val="en-GB"/>
        </w:rPr>
        <w:t xml:space="preserve">Roderick T. Long, ‘Left-Libertarianism, Market Anarchism, Class Conflict, and Historical Theories of Distributive Justice’, </w:t>
      </w:r>
      <w:r w:rsidRPr="00B50E08">
        <w:rPr>
          <w:rFonts w:ascii="Calibri" w:cs="Calibri"/>
          <w:i/>
          <w:iCs/>
          <w:kern w:val="0"/>
          <w:lang w:val="en-GB"/>
        </w:rPr>
        <w:t>Griffith Law Review</w:t>
      </w:r>
      <w:r w:rsidRPr="00B50E08">
        <w:rPr>
          <w:rFonts w:ascii="Calibri" w:cs="Calibri"/>
          <w:kern w:val="0"/>
          <w:lang w:val="en-GB"/>
        </w:rPr>
        <w:t xml:space="preserve"> 2, no. 12 (2012): 413–31.</w:t>
      </w:r>
      <w:r>
        <w:fldChar w:fldCharType="end"/>
      </w:r>
    </w:p>
  </w:footnote>
  <w:footnote w:id="43">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{"citationID":"C09NaLpA","properties":{"formattedCitation":"{\\i{}The Ethics of Liberty}, 163\\uc0\\u8211{}64.","plainCitation":"The Ethics of Liberty, 163–64.","noteIndex":43},"citationItems":[{"id":108,"uris":["http://zotero.org/users/6238250/items/L2A34JC4"],"itemData":{"id":108,"type":"book","publisher":"New York University Press","publisher-place":"New York","title":"The Ethics of Liberty","author":[{"family":"Rothbard","given":"Murray N."}],"issued":{"date-parts":[["1998"]]}},"locator":"163-164","label":"page","suppress-author":true}],"schema":"https://github.com/citation-style-language/schema/raw/master/csl-citation.json"} </w:instrText>
      </w:r>
      <w:r>
        <w:fldChar w:fldCharType="separate"/>
      </w:r>
      <w:r w:rsidRPr="00B50E08">
        <w:rPr>
          <w:rFonts w:ascii="Calibri" w:cs="Calibri"/>
          <w:i/>
          <w:iCs/>
          <w:kern w:val="0"/>
          <w:lang w:val="en-GB"/>
        </w:rPr>
        <w:t>The Ethics of Liberty</w:t>
      </w:r>
      <w:r w:rsidRPr="00B50E08">
        <w:rPr>
          <w:rFonts w:ascii="Calibri" w:cs="Calibri"/>
          <w:kern w:val="0"/>
          <w:lang w:val="en-GB"/>
        </w:rPr>
        <w:t>, 163–64.</w:t>
      </w:r>
      <w:r>
        <w:fldChar w:fldCharType="end"/>
      </w:r>
    </w:p>
  </w:footnote>
  <w:footnote w:id="44">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{"citationID":"Fkm1g45Q","properties":{"formattedCitation":"\\uc0\\u8216{}Toward a Reconstruction of Utility and Welfare Economics\\uc0\\u8217{}, in {\\i{}On Freedom and Free Enterprise: Essays in Honor of Ludwig von Mises} (D. Van Nostrand, 1956); {\\i{}Man, Economy, and State}, ch. 1.","plainCitation":"‘Toward a Reconstruction of Utility and Welfare Economics’, in On Freedom and Free Enterprise: Essays in Honor of Ludwig von Mises (D. Van Nostrand, 1956); Man, Economy, and State, ch. 1.","noteIndex":44},"citationItems":[{"id":1114,"uris":["http://zotero.org/users/6238250/items/QIK2RGLY"],"itemData":{"id":1114,"type":"chapter","container-title":"On Freedom and Free Enterprise: Essays in Honor of Ludwig von Mises","publisher":"D. Van Nostrand","publisher-place":"Princeton","title":"Toward a Reconstruction of Utility and Welfare Economics","author":[{"family":"Rothbard","given":"Murray N."}],"issued":{"date-parts":[["1956"]]}},"suppress-author":true},{"id":1340,"uris":["http://zotero.org/users/6238250/items/LC6CVDHW"],"itemData":{"id":1340,"type":"book","publisher":"William Volker Fund &amp; D. Van Nostrand","title":"Man, Economy, and State","author":[{"family":"Rothbard","given":"Murray N."}],"issued":{"date-parts":[["1962"]]}},"locator":"1","label":"chapter","suppress-author":true}],"schema":"https://github.com/citation-style-language/schema/raw/master/csl-citation.json"} </w:instrText>
      </w:r>
      <w:r>
        <w:fldChar w:fldCharType="separate"/>
      </w:r>
      <w:r w:rsidRPr="00B50E08">
        <w:rPr>
          <w:rFonts w:ascii="Calibri" w:cs="Calibri"/>
          <w:kern w:val="0"/>
          <w:lang w:val="en-GB"/>
        </w:rPr>
        <w:t xml:space="preserve">‘Toward a Reconstruction of Utility and Welfare Economics’, in </w:t>
      </w:r>
      <w:r w:rsidRPr="00B50E08">
        <w:rPr>
          <w:rFonts w:ascii="Calibri" w:cs="Calibri"/>
          <w:i/>
          <w:iCs/>
          <w:kern w:val="0"/>
          <w:lang w:val="en-GB"/>
        </w:rPr>
        <w:t>On Freedom and Free Enterprise: Essays in Honor of Ludwig von Mises</w:t>
      </w:r>
      <w:r w:rsidRPr="00B50E08">
        <w:rPr>
          <w:rFonts w:ascii="Calibri" w:cs="Calibri"/>
          <w:kern w:val="0"/>
          <w:lang w:val="en-GB"/>
        </w:rPr>
        <w:t xml:space="preserve"> (D. Van Nostrand, 1956); </w:t>
      </w:r>
      <w:r w:rsidRPr="00B50E08">
        <w:rPr>
          <w:rFonts w:ascii="Calibri" w:cs="Calibri"/>
          <w:i/>
          <w:iCs/>
          <w:kern w:val="0"/>
          <w:lang w:val="en-GB"/>
        </w:rPr>
        <w:t>Man, Economy, and State</w:t>
      </w:r>
      <w:r w:rsidRPr="00B50E08">
        <w:rPr>
          <w:rFonts w:ascii="Calibri" w:cs="Calibri"/>
          <w:kern w:val="0"/>
          <w:lang w:val="en-GB"/>
        </w:rPr>
        <w:t xml:space="preserve">, </w:t>
      </w:r>
      <w:proofErr w:type="spellStart"/>
      <w:r w:rsidRPr="00B50E08">
        <w:rPr>
          <w:rFonts w:ascii="Calibri" w:cs="Calibri"/>
          <w:kern w:val="0"/>
          <w:lang w:val="en-GB"/>
        </w:rPr>
        <w:t>ch.</w:t>
      </w:r>
      <w:proofErr w:type="spellEnd"/>
      <w:r w:rsidRPr="00B50E08">
        <w:rPr>
          <w:rFonts w:ascii="Calibri" w:cs="Calibri"/>
          <w:kern w:val="0"/>
          <w:lang w:val="en-GB"/>
        </w:rPr>
        <w:t xml:space="preserve"> 1.</w:t>
      </w:r>
      <w:r>
        <w:fldChar w:fldCharType="end"/>
      </w:r>
    </w:p>
  </w:footnote>
  <w:footnote w:id="45">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{"citationID":"g2hZNPL7","properties":{"formattedCitation":"Bryan Caplan, {\\i{}Why I Am Not an Austrian Economist}, Blog, 2010, https://econfaculty.gmu.edu/bcaplan/whyaust.htm.","plainCitation":"Bryan Caplan, Why I Am Not an Austrian Economist, Blog, 2010, https://econfaculty.gmu.edu/bcaplan/whyaust.htm.","noteIndex":45},"citationItems":[{"id":1347,"uris":["http://zotero.org/users/6238250/items/NF3KSHZA"],"itemData":{"id":1347,"type":"post-weblog","genre":"Blog","title":"Why I Am Not an Austrian Economist","URL":"https://econfaculty.gmu.edu/bcaplan/whyaust.htm","author":[{"family":"Caplan","given":"Bryan"}],"accessed":{"date-parts":[["2025",1,15]]},"issued":{"date-parts":[["2010"]]}}}],"schema":"https://github.com/citation-style-language/schema/raw/master/csl-citation.json"} </w:instrText>
      </w:r>
      <w:r>
        <w:fldChar w:fldCharType="separate"/>
      </w:r>
      <w:r w:rsidRPr="00B50E08">
        <w:rPr>
          <w:rFonts w:ascii="Calibri" w:cs="Calibri"/>
          <w:kern w:val="0"/>
          <w:lang w:val="en-GB"/>
        </w:rPr>
        <w:t xml:space="preserve">Bryan Caplan, </w:t>
      </w:r>
      <w:r w:rsidRPr="00B50E08">
        <w:rPr>
          <w:rFonts w:ascii="Calibri" w:cs="Calibri"/>
          <w:i/>
          <w:iCs/>
          <w:kern w:val="0"/>
          <w:lang w:val="en-GB"/>
        </w:rPr>
        <w:t>Why I Am Not an Austrian Economist</w:t>
      </w:r>
      <w:r w:rsidRPr="00B50E08">
        <w:rPr>
          <w:rFonts w:ascii="Calibri" w:cs="Calibri"/>
          <w:kern w:val="0"/>
          <w:lang w:val="en-GB"/>
        </w:rPr>
        <w:t>, Blog, 2010, https://econfaculty.gmu.edu/bcaplan/whyaust.htm.</w:t>
      </w:r>
      <w:r>
        <w:fldChar w:fldCharType="end"/>
      </w:r>
    </w:p>
  </w:footnote>
  <w:footnote w:id="46">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{"citationID":"kn2UrAQB","properties":{"formattedCitation":"\\uc0\\u8216{}Anatomy of the State\\uc0\\u8217{}.","plainCitation":"‘Anatomy of the State’.","noteIndex":46},"citationItems":[{"id":1330,"uris":["http://zotero.org/users/6238250/items/HXN7MCAK"],"itemData":{"id":1330,"type":"chapter","container-title":"Egalitarianism as a Revolt Against Nature and Other Essays","publisher":"Libertarian Review Press","title":"Anatomy of the State","author":[{"family":"Rothbard","given":"Murray N."}],"editor":[{"family":"Childs","given":"Roy A."}],"issued":{"date-parts":[["1974"]]}},"suppress-author":true}],"schema":"https://github.com/citation-style-language/schema/raw/master/csl-citation.json"} </w:instrText>
      </w:r>
      <w:r>
        <w:fldChar w:fldCharType="separate"/>
      </w:r>
      <w:r w:rsidRPr="00B50E08">
        <w:rPr>
          <w:rFonts w:ascii="Calibri" w:cs="Calibri"/>
          <w:kern w:val="0"/>
          <w:lang w:val="en-GB"/>
        </w:rPr>
        <w:t>‘Anatomy of the State’.</w:t>
      </w:r>
      <w:r>
        <w:fldChar w:fldCharType="end"/>
      </w:r>
    </w:p>
  </w:footnote>
  <w:footnote w:id="47">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{"citationID":"lTRUqKB5","properties":{"formattedCitation":"Simmons, \\uc0\\u8216{}Tacit Consent and Political Obligation\\uc0\\u8217{}.","plainCitation":"Simmons, ‘Tacit Consent and Political Obligation’.","noteIndex":47},"citationItems":[{"id":373,"uris":["http://zotero.org/users/6238250/items/JV5LAJF8"],"itemData":{"id":373,"type":"article-journal","container-title":"Philosophy and Public Affairs","issue":"3","page":"274-291","title":"Tacit Consent and Political Obligation","volume":"5","author":[{"family":"Simmons","given":"A. John"}],"issued":{"date-parts":[["1976"]]}}}],"schema":"https://github.com/citation-style-language/schema/raw/master/csl-citation.json"} </w:instrText>
      </w:r>
      <w:r>
        <w:fldChar w:fldCharType="separate"/>
      </w:r>
      <w:r w:rsidRPr="00B50E08">
        <w:rPr>
          <w:rFonts w:ascii="Calibri" w:cs="Calibri"/>
          <w:kern w:val="0"/>
          <w:lang w:val="en-GB"/>
        </w:rPr>
        <w:t>Simmons, ‘Tacit Consent and Political Obligation’.</w:t>
      </w:r>
      <w:r>
        <w:fldChar w:fldCharType="end"/>
      </w:r>
    </w:p>
  </w:footnote>
  <w:footnote w:id="48">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{"citationID":"9ZgpZ180","properties":{"formattedCitation":"{\\i{}For A New Liberty: The Libertarian Manifesto} (Self-Published, 1973), ch. 12.","plainCitation":"For A New Liberty: The Libertarian Manifesto (Self-Published, 1973), ch. 12.","noteIndex":48},"citationItems":[{"id":109,"uris":["http://zotero.org/users/6238250/items/67YJQA3B"],"itemData":{"id":109,"type":"book","publisher":"Self-Published","title":"For A New Liberty: The Libertarian Manifesto","author":[{"family":"Rothbard","given":"Murray N."}],"issued":{"date-parts":[["1973"]]}},"locator":"12","label":"chapter","suppress-author":true}],"schema":"https://github.com/citation-style-language/schema/raw/master/csl-citation.json"} </w:instrText>
      </w:r>
      <w:r>
        <w:fldChar w:fldCharType="separate"/>
      </w:r>
      <w:r w:rsidRPr="00B50E08">
        <w:rPr>
          <w:rFonts w:ascii="Calibri" w:cs="Calibri"/>
          <w:i/>
          <w:iCs/>
          <w:kern w:val="0"/>
          <w:lang w:val="en-GB"/>
        </w:rPr>
        <w:t>For A New Liberty: The Libertarian Manifesto</w:t>
      </w:r>
      <w:r w:rsidRPr="00B50E08">
        <w:rPr>
          <w:rFonts w:ascii="Calibri" w:cs="Calibri"/>
          <w:kern w:val="0"/>
          <w:lang w:val="en-GB"/>
        </w:rPr>
        <w:t xml:space="preserve"> (Self-Published, 1973), </w:t>
      </w:r>
      <w:proofErr w:type="spellStart"/>
      <w:r w:rsidRPr="00B50E08">
        <w:rPr>
          <w:rFonts w:ascii="Calibri" w:cs="Calibri"/>
          <w:kern w:val="0"/>
          <w:lang w:val="en-GB"/>
        </w:rPr>
        <w:t>ch.</w:t>
      </w:r>
      <w:proofErr w:type="spellEnd"/>
      <w:r w:rsidRPr="00B50E08">
        <w:rPr>
          <w:rFonts w:ascii="Calibri" w:cs="Calibri"/>
          <w:kern w:val="0"/>
          <w:lang w:val="en-GB"/>
        </w:rPr>
        <w:t xml:space="preserve"> 12.</w:t>
      </w:r>
      <w:r>
        <w:fldChar w:fldCharType="end"/>
      </w:r>
    </w:p>
  </w:footnote>
  <w:footnote w:id="49">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{"citationID":"Pz1nhoSR","properties":{"unsorted":true,"formattedCitation":"David Friedman, {\\i{}The Machinery of Freedom: A Guide to Radical Capitalism}, 2nd edn (Open Court Publishing Company, 1989), pt 2; Morris Tannehill and Linda Tannehill, {\\i{}The Market for Liberty}, 2nd edn (The Ludwig von Mises Institute, 2007); Gary Chartier, {\\i{}Anarchy and Legal Order: Law and Politics For A Stateless Society} (Cambridge University Press, 2013).","plainCitation":"David Friedman, The Machinery of Freedom: A Guide to Radical Capitalism, 2nd edn (Open Court Publishing Company, 1989), pt 2; Morris Tannehill and Linda Tannehill, The Market for Liberty, 2nd edn (The Ludwig von Mises Institute, 2007); Gary Chartier, Anarchy and Legal Order: Law and Politics For A Stateless Society (Cambridge University Press, 2013).","noteIndex":49},"citationItems":[{"id":208,"uris":["http://zotero.org/users/6238250/items/6XXYXT6S"],"itemData":{"id":208,"type":"book","edition":"2nd","publisher":"Open Court Publishing Company","publisher-place":"LaSalle","title":"The Machinery of Freedom: A Guide to Radical Capitalism","author":[{"family":"Friedman","given":"David"}],"issued":{"date-parts":[["1989"]]}},"locator":"2","label":"part"},{"id":349,"uris":["http://zotero.org/users/6238250/items/SBEDK6AL"],"itemData":{"id":349,"type":"book","edition":"2nd","publisher":"The Ludwig von Mises Institute","publisher-place":"Auburn","title":"The Market for Liberty","author":[{"family":"Tannehill","given":"Morris"},{"family":"Tannehill","given":"Linda"}],"issued":{"date-parts":[["2007"]]}}},{"id":156,"uris":["http://zotero.org/users/6238250/items/PPPGFDWR"],"itemData":{"id":156,"type":"book","publisher":"Cambridge University Press","publisher-place":"Cambridge","title":"Anarchy and Legal Order: Law and Politics For A Stateless Society","author":[{"family":"Chartier","given":"Gary"}],"issued":{"date-parts":[["2013"]]}}}],"schema":"https://github.com/citation-style-language/schema/raw/master/csl-citation.json"} </w:instrText>
      </w:r>
      <w:r>
        <w:fldChar w:fldCharType="separate"/>
      </w:r>
      <w:r w:rsidRPr="00B50E08">
        <w:rPr>
          <w:rFonts w:ascii="Calibri" w:cs="Calibri"/>
          <w:kern w:val="0"/>
          <w:lang w:val="en-GB"/>
        </w:rPr>
        <w:t xml:space="preserve">David Friedman, </w:t>
      </w:r>
      <w:r w:rsidRPr="00B50E08">
        <w:rPr>
          <w:rFonts w:ascii="Calibri" w:cs="Calibri"/>
          <w:i/>
          <w:iCs/>
          <w:kern w:val="0"/>
          <w:lang w:val="en-GB"/>
        </w:rPr>
        <w:t>The Machinery of Freedom: A Guide to Radical Capitalism</w:t>
      </w:r>
      <w:r w:rsidRPr="00B50E08">
        <w:rPr>
          <w:rFonts w:ascii="Calibri" w:cs="Calibri"/>
          <w:kern w:val="0"/>
          <w:lang w:val="en-GB"/>
        </w:rPr>
        <w:t xml:space="preserve">, 2nd </w:t>
      </w:r>
      <w:proofErr w:type="spellStart"/>
      <w:r w:rsidRPr="00B50E08">
        <w:rPr>
          <w:rFonts w:ascii="Calibri" w:cs="Calibri"/>
          <w:kern w:val="0"/>
          <w:lang w:val="en-GB"/>
        </w:rPr>
        <w:t>edn</w:t>
      </w:r>
      <w:proofErr w:type="spellEnd"/>
      <w:r w:rsidRPr="00B50E08">
        <w:rPr>
          <w:rFonts w:ascii="Calibri" w:cs="Calibri"/>
          <w:kern w:val="0"/>
          <w:lang w:val="en-GB"/>
        </w:rPr>
        <w:t xml:space="preserve"> (Open Court Publishing Company, 1989), pt 2; Morris Tannehill and Linda Tannehill, </w:t>
      </w:r>
      <w:r w:rsidRPr="00B50E08">
        <w:rPr>
          <w:rFonts w:ascii="Calibri" w:cs="Calibri"/>
          <w:i/>
          <w:iCs/>
          <w:kern w:val="0"/>
          <w:lang w:val="en-GB"/>
        </w:rPr>
        <w:t>The Market for Liberty</w:t>
      </w:r>
      <w:r w:rsidRPr="00B50E08">
        <w:rPr>
          <w:rFonts w:ascii="Calibri" w:cs="Calibri"/>
          <w:kern w:val="0"/>
          <w:lang w:val="en-GB"/>
        </w:rPr>
        <w:t xml:space="preserve">, 2nd </w:t>
      </w:r>
      <w:proofErr w:type="spellStart"/>
      <w:r w:rsidRPr="00B50E08">
        <w:rPr>
          <w:rFonts w:ascii="Calibri" w:cs="Calibri"/>
          <w:kern w:val="0"/>
          <w:lang w:val="en-GB"/>
        </w:rPr>
        <w:t>edn</w:t>
      </w:r>
      <w:proofErr w:type="spellEnd"/>
      <w:r w:rsidRPr="00B50E08">
        <w:rPr>
          <w:rFonts w:ascii="Calibri" w:cs="Calibri"/>
          <w:kern w:val="0"/>
          <w:lang w:val="en-GB"/>
        </w:rPr>
        <w:t xml:space="preserve"> (The Ludwig von Mises Institute, 2007); Gary Chartier, </w:t>
      </w:r>
      <w:r w:rsidRPr="00B50E08">
        <w:rPr>
          <w:rFonts w:ascii="Calibri" w:cs="Calibri"/>
          <w:i/>
          <w:iCs/>
          <w:kern w:val="0"/>
          <w:lang w:val="en-GB"/>
        </w:rPr>
        <w:t xml:space="preserve">Anarchy and Legal Order: Law and Politics </w:t>
      </w:r>
      <w:proofErr w:type="gramStart"/>
      <w:r w:rsidRPr="00B50E08">
        <w:rPr>
          <w:rFonts w:ascii="Calibri" w:cs="Calibri"/>
          <w:i/>
          <w:iCs/>
          <w:kern w:val="0"/>
          <w:lang w:val="en-GB"/>
        </w:rPr>
        <w:t>For</w:t>
      </w:r>
      <w:proofErr w:type="gramEnd"/>
      <w:r w:rsidRPr="00B50E08">
        <w:rPr>
          <w:rFonts w:ascii="Calibri" w:cs="Calibri"/>
          <w:i/>
          <w:iCs/>
          <w:kern w:val="0"/>
          <w:lang w:val="en-GB"/>
        </w:rPr>
        <w:t xml:space="preserve"> </w:t>
      </w:r>
      <w:proofErr w:type="gramStart"/>
      <w:r w:rsidRPr="00B50E08">
        <w:rPr>
          <w:rFonts w:ascii="Calibri" w:cs="Calibri"/>
          <w:i/>
          <w:iCs/>
          <w:kern w:val="0"/>
          <w:lang w:val="en-GB"/>
        </w:rPr>
        <w:t>A</w:t>
      </w:r>
      <w:proofErr w:type="gramEnd"/>
      <w:r w:rsidRPr="00B50E08">
        <w:rPr>
          <w:rFonts w:ascii="Calibri" w:cs="Calibri"/>
          <w:i/>
          <w:iCs/>
          <w:kern w:val="0"/>
          <w:lang w:val="en-GB"/>
        </w:rPr>
        <w:t xml:space="preserve"> Stateless Society</w:t>
      </w:r>
      <w:r w:rsidRPr="00B50E08">
        <w:rPr>
          <w:rFonts w:ascii="Calibri" w:cs="Calibri"/>
          <w:kern w:val="0"/>
          <w:lang w:val="en-GB"/>
        </w:rPr>
        <w:t xml:space="preserve"> (Cambridge University Press, 2013).</w:t>
      </w:r>
      <w:r>
        <w:fldChar w:fldCharType="end"/>
      </w:r>
    </w:p>
  </w:footnote>
  <w:footnote w:id="50">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{"citationID":"Eu3ZJxy2","properties":{"formattedCitation":"Robert P. Murphy, {\\i{}Chaos Theory: Two Essays on Market Anarchy}, 2nd edn (The Ludwig von Mises Institute, 2010).","plainCitation":"Robert P. Murphy, Chaos Theory: Two Essays on Market Anarchy, 2nd edn (The Ludwig von Mises Institute, 2010).","noteIndex":50},"citationItems":[{"id":351,"uris":["http://zotero.org/users/6238250/items/J4UCX8W8"],"itemData":{"id":351,"type":"book","edition":"2nd","publisher":"The Ludwig von Mises Institute","publisher-place":"Auburn","title":"Chaos Theory: Two Essays on Market Anarchy","author":[{"family":"Murphy","given":"Robert P."}],"issued":{"date-parts":[["2010"]]}}}],"schema":"https://github.com/citation-style-language/schema/raw/master/csl-citation.json"} </w:instrText>
      </w:r>
      <w:r>
        <w:fldChar w:fldCharType="separate"/>
      </w:r>
      <w:r w:rsidRPr="00B50E08">
        <w:rPr>
          <w:rFonts w:ascii="Calibri" w:cs="Calibri"/>
          <w:kern w:val="0"/>
          <w:lang w:val="en-GB"/>
        </w:rPr>
        <w:t xml:space="preserve">Robert P. Murphy, </w:t>
      </w:r>
      <w:r w:rsidRPr="00B50E08">
        <w:rPr>
          <w:rFonts w:ascii="Calibri" w:cs="Calibri"/>
          <w:i/>
          <w:iCs/>
          <w:kern w:val="0"/>
          <w:lang w:val="en-GB"/>
        </w:rPr>
        <w:t>Chaos Theory: Two Essays on Market Anarchy</w:t>
      </w:r>
      <w:r w:rsidRPr="00B50E08">
        <w:rPr>
          <w:rFonts w:ascii="Calibri" w:cs="Calibri"/>
          <w:kern w:val="0"/>
          <w:lang w:val="en-GB"/>
        </w:rPr>
        <w:t xml:space="preserve">, 2nd </w:t>
      </w:r>
      <w:proofErr w:type="spellStart"/>
      <w:r w:rsidRPr="00B50E08">
        <w:rPr>
          <w:rFonts w:ascii="Calibri" w:cs="Calibri"/>
          <w:kern w:val="0"/>
          <w:lang w:val="en-GB"/>
        </w:rPr>
        <w:t>edn</w:t>
      </w:r>
      <w:proofErr w:type="spellEnd"/>
      <w:r w:rsidRPr="00B50E08">
        <w:rPr>
          <w:rFonts w:ascii="Calibri" w:cs="Calibri"/>
          <w:kern w:val="0"/>
          <w:lang w:val="en-GB"/>
        </w:rPr>
        <w:t xml:space="preserve"> (The Ludwig von Mises Institute, 2010).</w:t>
      </w:r>
      <w:r>
        <w:fldChar w:fldCharType="end"/>
      </w:r>
    </w:p>
  </w:footnote>
  <w:footnote w:id="51">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{"citationID":"tIb51xYQ","properties":{"formattedCitation":"Roderick T. Long, \\uc0\\u8216{}Market Anarchism as Constitutionalism\\uc0\\u8217{}, in {\\i{}Anarchism/Minarchism: Is a Government Part of a Free Country?}, ed. Roderick T. Long and Tibor R. Machan (Ashgate Publishing, 2008).","plainCitation":"Roderick T. Long, ‘Market Anarchism as Constitutionalism’, in Anarchism/Minarchism: Is a Government Part of a Free Country?, ed. Roderick T. Long and Tibor R. Machan (Ashgate Publishing, 2008).","noteIndex":51},"citationItems":[{"id":698,"uris":["http://zotero.org/users/6238250/items/YM433T3D"],"itemData":{"id":698,"type":"chapter","container-title":"Anarchism/Minarchism: Is a Government Part of a Free Country?","publisher":"Ashgate Publishing","publisher-place":"Aldershot","title":"Market Anarchism as Constitutionalism","author":[{"family":"Long","given":"Roderick T."}],"editor":[{"family":"Long","given":"Roderick T."},{"family":"Machan","given":"Tibor R."}],"issued":{"date-parts":[["2008"]]}}}],"schema":"https://github.com/citation-style-language/schema/raw/master/csl-citation.json"} </w:instrText>
      </w:r>
      <w:r>
        <w:fldChar w:fldCharType="separate"/>
      </w:r>
      <w:r w:rsidRPr="00B50E08">
        <w:rPr>
          <w:rFonts w:ascii="Calibri" w:cs="Calibri"/>
          <w:kern w:val="0"/>
          <w:lang w:val="en-GB"/>
        </w:rPr>
        <w:t xml:space="preserve">Roderick T. Long, ‘Market Anarchism as Constitutionalism’, in </w:t>
      </w:r>
      <w:r w:rsidRPr="00B50E08">
        <w:rPr>
          <w:rFonts w:ascii="Calibri" w:cs="Calibri"/>
          <w:i/>
          <w:iCs/>
          <w:kern w:val="0"/>
          <w:lang w:val="en-GB"/>
        </w:rPr>
        <w:t>Anarchism/</w:t>
      </w:r>
      <w:proofErr w:type="spellStart"/>
      <w:r w:rsidRPr="00B50E08">
        <w:rPr>
          <w:rFonts w:ascii="Calibri" w:cs="Calibri"/>
          <w:i/>
          <w:iCs/>
          <w:kern w:val="0"/>
          <w:lang w:val="en-GB"/>
        </w:rPr>
        <w:t>Minarchism</w:t>
      </w:r>
      <w:proofErr w:type="spellEnd"/>
      <w:r w:rsidRPr="00B50E08">
        <w:rPr>
          <w:rFonts w:ascii="Calibri" w:cs="Calibri"/>
          <w:i/>
          <w:iCs/>
          <w:kern w:val="0"/>
          <w:lang w:val="en-GB"/>
        </w:rPr>
        <w:t xml:space="preserve">: Is a Government Part of a Free </w:t>
      </w:r>
      <w:proofErr w:type="gramStart"/>
      <w:r w:rsidRPr="00B50E08">
        <w:rPr>
          <w:rFonts w:ascii="Calibri" w:cs="Calibri"/>
          <w:i/>
          <w:iCs/>
          <w:kern w:val="0"/>
          <w:lang w:val="en-GB"/>
        </w:rPr>
        <w:t>Country?</w:t>
      </w:r>
      <w:r w:rsidRPr="00B50E08">
        <w:rPr>
          <w:rFonts w:ascii="Calibri" w:cs="Calibri"/>
          <w:kern w:val="0"/>
          <w:lang w:val="en-GB"/>
        </w:rPr>
        <w:t>,</w:t>
      </w:r>
      <w:proofErr w:type="gramEnd"/>
      <w:r w:rsidRPr="00B50E08">
        <w:rPr>
          <w:rFonts w:ascii="Calibri" w:cs="Calibri"/>
          <w:kern w:val="0"/>
          <w:lang w:val="en-GB"/>
        </w:rPr>
        <w:t xml:space="preserve"> ed. Roderick T. Long and Tibor R. Machan (Ashgate Publishing, 2008).</w:t>
      </w:r>
      <w:r>
        <w:fldChar w:fldCharType="end"/>
      </w:r>
    </w:p>
  </w:footnote>
  <w:footnote w:id="52">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{"citationID":"IoR4xymG","properties":{"formattedCitation":"Nozick, {\\i{}Anarchy, State, and Utopia} esp ch. 5.","plainCitation":"Nozick, Anarchy, State, and Utopia esp ch. 5.","noteIndex":52},"citationItems":[{"id":307,"uris":["http://zotero.org/users/6238250/items/RGFGQEDS"],"itemData":{"id":307,"type":"book","publisher":"Basic Books","publisher-place":"New York","title":"Anarchy, State, and Utopia","author":[{"family":"Nozick","given":"Robert"}],"issued":{"date-parts":[["1974"]]}},"suffix":"esp ch. 5"}],"schema":"https://github.com/citation-style-language/schema/raw/master/csl-citation.json"} </w:instrText>
      </w:r>
      <w:r>
        <w:fldChar w:fldCharType="separate"/>
      </w:r>
      <w:r w:rsidRPr="00B50E08">
        <w:rPr>
          <w:rFonts w:ascii="Calibri" w:cs="Calibri"/>
          <w:kern w:val="0"/>
          <w:lang w:val="en-GB"/>
        </w:rPr>
        <w:t xml:space="preserve">Nozick, </w:t>
      </w:r>
      <w:r w:rsidRPr="00B50E08">
        <w:rPr>
          <w:rFonts w:ascii="Calibri" w:cs="Calibri"/>
          <w:i/>
          <w:iCs/>
          <w:kern w:val="0"/>
          <w:lang w:val="en-GB"/>
        </w:rPr>
        <w:t>Anarchy, State, and Utopia</w:t>
      </w:r>
      <w:r w:rsidRPr="00B50E08">
        <w:rPr>
          <w:rFonts w:ascii="Calibri" w:cs="Calibri"/>
          <w:kern w:val="0"/>
          <w:lang w:val="en-GB"/>
        </w:rPr>
        <w:t xml:space="preserve"> </w:t>
      </w:r>
      <w:proofErr w:type="spellStart"/>
      <w:r w:rsidRPr="00B50E08">
        <w:rPr>
          <w:rFonts w:ascii="Calibri" w:cs="Calibri"/>
          <w:kern w:val="0"/>
          <w:lang w:val="en-GB"/>
        </w:rPr>
        <w:t>esp</w:t>
      </w:r>
      <w:proofErr w:type="spellEnd"/>
      <w:r w:rsidRPr="00B50E08">
        <w:rPr>
          <w:rFonts w:ascii="Calibri" w:cs="Calibri"/>
          <w:kern w:val="0"/>
          <w:lang w:val="en-GB"/>
        </w:rPr>
        <w:t xml:space="preserve"> </w:t>
      </w:r>
      <w:proofErr w:type="spellStart"/>
      <w:r w:rsidRPr="00B50E08">
        <w:rPr>
          <w:rFonts w:ascii="Calibri" w:cs="Calibri"/>
          <w:kern w:val="0"/>
          <w:lang w:val="en-GB"/>
        </w:rPr>
        <w:t>ch.</w:t>
      </w:r>
      <w:proofErr w:type="spellEnd"/>
      <w:r w:rsidRPr="00B50E08">
        <w:rPr>
          <w:rFonts w:ascii="Calibri" w:cs="Calibri"/>
          <w:kern w:val="0"/>
          <w:lang w:val="en-GB"/>
        </w:rPr>
        <w:t xml:space="preserve"> 5.</w:t>
      </w:r>
      <w:r>
        <w:fldChar w:fldCharType="end"/>
      </w:r>
    </w:p>
  </w:footnote>
  <w:footnote w:id="53">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{"citationID":"6HiEqOny","properties":{"formattedCitation":"cf. Ralf M. Bader, \\uc0\\u8216{}De Facto Monopolies and the Justification of the State\\uc0\\u8217{}, in {\\i{}The Routledge Handbook of Anarchy and Anarchist Thought}, ed. Gary Chartier and Chad Van Shoelandt (Routledge, 2021).","plainCitation":"cf. Ralf M. Bader, ‘De Facto Monopolies and the Justification of the State’, in The Routledge Handbook of Anarchy and Anarchist Thought, ed. Gary Chartier and Chad Van Shoelandt (Routledge, 2021).","noteIndex":53},"citationItems":[{"id":688,"uris":["http://zotero.org/users/6238250/items/M2K535DE"],"itemData":{"id":688,"type":"chapter","container-title":"The Routledge Handbook of Anarchy and Anarchist Thought","publisher":"Routledge","publisher-place":"New York","title":"De Facto Monopolies and the Justification of the State","author":[{"family":"Bader","given":"Ralf M."}],"editor":[{"family":"Chartier","given":"Gary"},{"family":"Van Shoelandt","given":"Chad"}],"issued":{"date-parts":[["2021"]]}},"prefix":"cf."}],"schema":"https://github.com/citation-style-language/schema/raw/master/csl-citation.json"} </w:instrText>
      </w:r>
      <w:r>
        <w:fldChar w:fldCharType="separate"/>
      </w:r>
      <w:r w:rsidRPr="00B50E08">
        <w:rPr>
          <w:rFonts w:ascii="Calibri" w:cs="Calibri"/>
          <w:kern w:val="0"/>
          <w:lang w:val="en-GB"/>
        </w:rPr>
        <w:t xml:space="preserve">cf. Ralf M. Bader, ‘De Facto Monopolies and the Justification of the State’, in </w:t>
      </w:r>
      <w:r w:rsidRPr="00B50E08">
        <w:rPr>
          <w:rFonts w:ascii="Calibri" w:cs="Calibri"/>
          <w:i/>
          <w:iCs/>
          <w:kern w:val="0"/>
          <w:lang w:val="en-GB"/>
        </w:rPr>
        <w:t>The Routledge Handbook of Anarchy and Anarchist Thought</w:t>
      </w:r>
      <w:r w:rsidRPr="00B50E08">
        <w:rPr>
          <w:rFonts w:ascii="Calibri" w:cs="Calibri"/>
          <w:kern w:val="0"/>
          <w:lang w:val="en-GB"/>
        </w:rPr>
        <w:t>, ed. Gary Chartier and Chad Van Shoelandt (Routledge, 2021).</w:t>
      </w:r>
      <w:r>
        <w:fldChar w:fldCharType="end"/>
      </w:r>
    </w:p>
  </w:footnote>
  <w:footnote w:id="54">
    <w:p w:rsidR="00B50E08" w:rsidRPr="00B50E08" w:rsidRDefault="00B50E08">
      <w:pPr>
        <w:pStyle w:val="FootnoteText"/>
        <w:rPr>
          <w:lang w:val="en-GB"/>
        </w:rPr>
      </w:pPr>
      <w:r>
        <w:rPr>
          <w:rStyle w:val="FootnoteReference"/>
        </w:rPr>
        <w:footnoteRef/>
      </w:r>
      <w:r>
        <w:t xml:space="preserve"> </w:t>
      </w:r>
      <w:r>
        <w:fldChar w:fldCharType="begin"/>
      </w:r>
      <w:r>
        <w:instrText xml:space="preserve"> ADDIN ZOTERO_ITEM CSL_CITATION {"citationID":"XcBtQPuz","properties":{"formattedCitation":"Rothbard, {\\i{}The Ethics of Liberty}, ch. 29.","plainCitation":"Rothbard, The Ethics of Liberty, ch. 29.","noteIndex":54},"citationItems":[{"id":108,"uris":["http://zotero.org/users/6238250/items/L2A34JC4"],"itemData":{"id":108,"type":"book","publisher":"New York University Press","publisher-place":"New York","title":"The Ethics of Liberty","author":[{"family":"Rothbard","given":"Murray N."}],"issued":{"date-parts":[["1998"]]}},"locator":"29","label":"chapter"}],"schema":"https://github.com/citation-style-language/schema/raw/master/csl-citation.json"} </w:instrText>
      </w:r>
      <w:r>
        <w:fldChar w:fldCharType="separate"/>
      </w:r>
      <w:r w:rsidRPr="00B50E08">
        <w:rPr>
          <w:rFonts w:ascii="Calibri" w:cs="Calibri"/>
          <w:kern w:val="0"/>
          <w:lang w:val="en-GB"/>
        </w:rPr>
        <w:t xml:space="preserve">Rothbard, </w:t>
      </w:r>
      <w:r w:rsidRPr="00B50E08">
        <w:rPr>
          <w:rFonts w:ascii="Calibri" w:cs="Calibri"/>
          <w:i/>
          <w:iCs/>
          <w:kern w:val="0"/>
          <w:lang w:val="en-GB"/>
        </w:rPr>
        <w:t>The Ethics of Liberty</w:t>
      </w:r>
      <w:r w:rsidRPr="00B50E08">
        <w:rPr>
          <w:rFonts w:ascii="Calibri" w:cs="Calibri"/>
          <w:kern w:val="0"/>
          <w:lang w:val="en-GB"/>
        </w:rPr>
        <w:t xml:space="preserve">, </w:t>
      </w:r>
      <w:proofErr w:type="spellStart"/>
      <w:r w:rsidRPr="00B50E08">
        <w:rPr>
          <w:rFonts w:ascii="Calibri" w:cs="Calibri"/>
          <w:kern w:val="0"/>
          <w:lang w:val="en-GB"/>
        </w:rPr>
        <w:t>ch.</w:t>
      </w:r>
      <w:proofErr w:type="spellEnd"/>
      <w:r w:rsidRPr="00B50E08">
        <w:rPr>
          <w:rFonts w:ascii="Calibri" w:cs="Calibri"/>
          <w:kern w:val="0"/>
          <w:lang w:val="en-GB"/>
        </w:rPr>
        <w:t xml:space="preserve"> 29.</w:t>
      </w:r>
      <w: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D025C6"/>
    <w:multiLevelType w:val="hybridMultilevel"/>
    <w:tmpl w:val="AE1CE9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15172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675"/>
    <w:rsid w:val="00010DF6"/>
    <w:rsid w:val="000153BB"/>
    <w:rsid w:val="00020475"/>
    <w:rsid w:val="00051A63"/>
    <w:rsid w:val="00177C30"/>
    <w:rsid w:val="001E740C"/>
    <w:rsid w:val="002C3CE0"/>
    <w:rsid w:val="002D37D5"/>
    <w:rsid w:val="00323C8F"/>
    <w:rsid w:val="003B3173"/>
    <w:rsid w:val="003D6138"/>
    <w:rsid w:val="003F2A6B"/>
    <w:rsid w:val="0040183B"/>
    <w:rsid w:val="00415390"/>
    <w:rsid w:val="00442675"/>
    <w:rsid w:val="00443144"/>
    <w:rsid w:val="00444F0D"/>
    <w:rsid w:val="0045596A"/>
    <w:rsid w:val="00461F18"/>
    <w:rsid w:val="0047575B"/>
    <w:rsid w:val="00481F5B"/>
    <w:rsid w:val="004909FF"/>
    <w:rsid w:val="00491C09"/>
    <w:rsid w:val="004960DE"/>
    <w:rsid w:val="004C3BF8"/>
    <w:rsid w:val="004E1363"/>
    <w:rsid w:val="004F097F"/>
    <w:rsid w:val="004F22E9"/>
    <w:rsid w:val="004F364C"/>
    <w:rsid w:val="00560230"/>
    <w:rsid w:val="0056550B"/>
    <w:rsid w:val="005E6FC6"/>
    <w:rsid w:val="005F4B7A"/>
    <w:rsid w:val="00603D86"/>
    <w:rsid w:val="006566F2"/>
    <w:rsid w:val="006A5DB3"/>
    <w:rsid w:val="006C1EFF"/>
    <w:rsid w:val="006C21E7"/>
    <w:rsid w:val="007254F5"/>
    <w:rsid w:val="0074457C"/>
    <w:rsid w:val="007464D3"/>
    <w:rsid w:val="0076720D"/>
    <w:rsid w:val="007C37A0"/>
    <w:rsid w:val="007D2987"/>
    <w:rsid w:val="007E7C85"/>
    <w:rsid w:val="0080620D"/>
    <w:rsid w:val="008560BC"/>
    <w:rsid w:val="008B29B3"/>
    <w:rsid w:val="008C0498"/>
    <w:rsid w:val="008D2844"/>
    <w:rsid w:val="008F48B5"/>
    <w:rsid w:val="00914800"/>
    <w:rsid w:val="00970317"/>
    <w:rsid w:val="0099657B"/>
    <w:rsid w:val="009A27F4"/>
    <w:rsid w:val="009C4E78"/>
    <w:rsid w:val="00A1191B"/>
    <w:rsid w:val="00A3317E"/>
    <w:rsid w:val="00A4018F"/>
    <w:rsid w:val="00A419AC"/>
    <w:rsid w:val="00A81DB7"/>
    <w:rsid w:val="00B166CF"/>
    <w:rsid w:val="00B24977"/>
    <w:rsid w:val="00B44699"/>
    <w:rsid w:val="00B50E08"/>
    <w:rsid w:val="00B62B9C"/>
    <w:rsid w:val="00B74543"/>
    <w:rsid w:val="00BB481C"/>
    <w:rsid w:val="00BF505C"/>
    <w:rsid w:val="00C15676"/>
    <w:rsid w:val="00C41745"/>
    <w:rsid w:val="00C550FA"/>
    <w:rsid w:val="00C55897"/>
    <w:rsid w:val="00C62ED5"/>
    <w:rsid w:val="00C758A5"/>
    <w:rsid w:val="00CA0CBA"/>
    <w:rsid w:val="00D37FF5"/>
    <w:rsid w:val="00D81878"/>
    <w:rsid w:val="00DA240B"/>
    <w:rsid w:val="00DC0B6E"/>
    <w:rsid w:val="00E056DB"/>
    <w:rsid w:val="00E1098D"/>
    <w:rsid w:val="00E42373"/>
    <w:rsid w:val="00EB679A"/>
    <w:rsid w:val="00ED0349"/>
    <w:rsid w:val="00EF0FDA"/>
    <w:rsid w:val="00EF2FAD"/>
    <w:rsid w:val="00EF3897"/>
    <w:rsid w:val="00F10F22"/>
    <w:rsid w:val="00F300AE"/>
    <w:rsid w:val="00F4087F"/>
    <w:rsid w:val="00F5112D"/>
    <w:rsid w:val="00F62579"/>
    <w:rsid w:val="00FE2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DAD36E"/>
  <w15:chartTrackingRefBased/>
  <w15:docId w15:val="{A5446153-B224-F043-ABD6-E1F0CEFD3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1A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1A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1A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1A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1A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1A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A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A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A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A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1A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1A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1A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1A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1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A63"/>
    <w:rPr>
      <w:rFonts w:eastAsiaTheme="majorEastAsia" w:cstheme="majorBidi"/>
      <w:color w:val="272727" w:themeColor="text1" w:themeTint="D8"/>
    </w:rPr>
  </w:style>
  <w:style w:type="paragraph" w:styleId="Title">
    <w:name w:val="Title"/>
    <w:basedOn w:val="Normal"/>
    <w:next w:val="Normal"/>
    <w:link w:val="TitleChar"/>
    <w:uiPriority w:val="10"/>
    <w:qFormat/>
    <w:rsid w:val="00051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A6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A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1A63"/>
    <w:rPr>
      <w:i/>
      <w:iCs/>
      <w:color w:val="404040" w:themeColor="text1" w:themeTint="BF"/>
    </w:rPr>
  </w:style>
  <w:style w:type="paragraph" w:styleId="ListParagraph">
    <w:name w:val="List Paragraph"/>
    <w:basedOn w:val="Normal"/>
    <w:uiPriority w:val="34"/>
    <w:qFormat/>
    <w:rsid w:val="00051A63"/>
    <w:pPr>
      <w:ind w:left="720"/>
      <w:contextualSpacing/>
    </w:pPr>
  </w:style>
  <w:style w:type="character" w:styleId="IntenseEmphasis">
    <w:name w:val="Intense Emphasis"/>
    <w:basedOn w:val="DefaultParagraphFont"/>
    <w:uiPriority w:val="21"/>
    <w:qFormat/>
    <w:rsid w:val="00051A63"/>
    <w:rPr>
      <w:i/>
      <w:iCs/>
      <w:color w:val="2F5496" w:themeColor="accent1" w:themeShade="BF"/>
    </w:rPr>
  </w:style>
  <w:style w:type="paragraph" w:styleId="IntenseQuote">
    <w:name w:val="Intense Quote"/>
    <w:basedOn w:val="Normal"/>
    <w:next w:val="Normal"/>
    <w:link w:val="IntenseQuoteChar"/>
    <w:uiPriority w:val="30"/>
    <w:qFormat/>
    <w:rsid w:val="00051A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1A63"/>
    <w:rPr>
      <w:i/>
      <w:iCs/>
      <w:color w:val="2F5496" w:themeColor="accent1" w:themeShade="BF"/>
    </w:rPr>
  </w:style>
  <w:style w:type="character" w:styleId="IntenseReference">
    <w:name w:val="Intense Reference"/>
    <w:basedOn w:val="DefaultParagraphFont"/>
    <w:uiPriority w:val="32"/>
    <w:qFormat/>
    <w:rsid w:val="00051A63"/>
    <w:rPr>
      <w:b/>
      <w:bCs/>
      <w:smallCaps/>
      <w:color w:val="2F5496" w:themeColor="accent1" w:themeShade="BF"/>
      <w:spacing w:val="5"/>
    </w:rPr>
  </w:style>
  <w:style w:type="paragraph" w:styleId="Header">
    <w:name w:val="header"/>
    <w:basedOn w:val="Normal"/>
    <w:link w:val="HeaderChar"/>
    <w:uiPriority w:val="99"/>
    <w:unhideWhenUsed/>
    <w:rsid w:val="00051A63"/>
    <w:pPr>
      <w:tabs>
        <w:tab w:val="center" w:pos="4680"/>
        <w:tab w:val="right" w:pos="9360"/>
      </w:tabs>
      <w:spacing w:line="240" w:lineRule="auto"/>
    </w:pPr>
  </w:style>
  <w:style w:type="character" w:customStyle="1" w:styleId="HeaderChar">
    <w:name w:val="Header Char"/>
    <w:basedOn w:val="DefaultParagraphFont"/>
    <w:link w:val="Header"/>
    <w:uiPriority w:val="99"/>
    <w:rsid w:val="00051A63"/>
  </w:style>
  <w:style w:type="paragraph" w:styleId="Footer">
    <w:name w:val="footer"/>
    <w:basedOn w:val="Normal"/>
    <w:link w:val="FooterChar"/>
    <w:uiPriority w:val="99"/>
    <w:unhideWhenUsed/>
    <w:rsid w:val="00051A63"/>
    <w:pPr>
      <w:tabs>
        <w:tab w:val="center" w:pos="4680"/>
        <w:tab w:val="right" w:pos="9360"/>
      </w:tabs>
      <w:spacing w:line="240" w:lineRule="auto"/>
    </w:pPr>
  </w:style>
  <w:style w:type="character" w:customStyle="1" w:styleId="FooterChar">
    <w:name w:val="Footer Char"/>
    <w:basedOn w:val="DefaultParagraphFont"/>
    <w:link w:val="Footer"/>
    <w:uiPriority w:val="99"/>
    <w:rsid w:val="00051A63"/>
  </w:style>
  <w:style w:type="character" w:styleId="PageNumber">
    <w:name w:val="page number"/>
    <w:basedOn w:val="DefaultParagraphFont"/>
    <w:uiPriority w:val="99"/>
    <w:semiHidden/>
    <w:unhideWhenUsed/>
    <w:rsid w:val="00051A63"/>
  </w:style>
  <w:style w:type="paragraph" w:styleId="FootnoteText">
    <w:name w:val="footnote text"/>
    <w:basedOn w:val="Normal"/>
    <w:link w:val="FootnoteTextChar"/>
    <w:uiPriority w:val="99"/>
    <w:semiHidden/>
    <w:unhideWhenUsed/>
    <w:rsid w:val="006C21E7"/>
    <w:pPr>
      <w:spacing w:line="240" w:lineRule="auto"/>
    </w:pPr>
    <w:rPr>
      <w:sz w:val="20"/>
      <w:szCs w:val="20"/>
    </w:rPr>
  </w:style>
  <w:style w:type="character" w:customStyle="1" w:styleId="FootnoteTextChar">
    <w:name w:val="Footnote Text Char"/>
    <w:basedOn w:val="DefaultParagraphFont"/>
    <w:link w:val="FootnoteText"/>
    <w:uiPriority w:val="99"/>
    <w:semiHidden/>
    <w:rsid w:val="006C21E7"/>
    <w:rPr>
      <w:sz w:val="20"/>
      <w:szCs w:val="20"/>
    </w:rPr>
  </w:style>
  <w:style w:type="character" w:styleId="FootnoteReference">
    <w:name w:val="footnote reference"/>
    <w:basedOn w:val="DefaultParagraphFont"/>
    <w:uiPriority w:val="99"/>
    <w:semiHidden/>
    <w:unhideWhenUsed/>
    <w:rsid w:val="006C21E7"/>
    <w:rPr>
      <w:vertAlign w:val="superscript"/>
    </w:rPr>
  </w:style>
  <w:style w:type="paragraph" w:styleId="Bibliography">
    <w:name w:val="Bibliography"/>
    <w:basedOn w:val="Normal"/>
    <w:next w:val="Normal"/>
    <w:uiPriority w:val="37"/>
    <w:unhideWhenUsed/>
    <w:rsid w:val="00C758A5"/>
    <w:pPr>
      <w:spacing w:after="24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wic00002/Library/Group%20Containers/UBF8T346G9.Office/User%20Content.localized/Templates.localized/Writ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6D3490-91F2-AA40-A851-90AA1D348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Writing.dotx</Template>
  <TotalTime>370</TotalTime>
  <Pages>10</Pages>
  <Words>3598</Words>
  <Characters>19362</Characters>
  <Application>Microsoft Office Word</Application>
  <DocSecurity>0</DocSecurity>
  <Lines>312</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Christmas</dc:creator>
  <cp:keywords/>
  <dc:description/>
  <cp:lastModifiedBy>Billy Christmas</cp:lastModifiedBy>
  <cp:revision>53</cp:revision>
  <dcterms:created xsi:type="dcterms:W3CDTF">2025-02-05T16:51:00Z</dcterms:created>
  <dcterms:modified xsi:type="dcterms:W3CDTF">2026-01-26T18:57:00Z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zotero-version="8.0"&gt;&lt;session id="kbXcUcbU"/&gt;&lt;style id="http://www.zotero.org/styles/chicago-notes-bibliography" locale="en-GB" hasBibliography="1" bibliographyStyleHasBeenSet="1"/&gt;&lt;prefs&gt;&lt;pref name="fieldType" value="Field"/&gt;&lt;pref </vt:lpwstr>
  </property>
  <property fmtid="{D5CDD505-2E9C-101B-9397-08002B2CF9AE}" pid="3" name="ZOTERO_PREF_2">
    <vt:lpwstr>name="automaticJournalAbbreviations" value="true"/&gt;&lt;pref name="noteType" value="1"/&gt;&lt;/prefs&gt;&lt;/data&gt;</vt:lpwstr>
  </property>
</Properties>
</file>