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77777777" w:rsidR="00CC5992" w:rsidRPr="00314F90" w:rsidRDefault="00000000">
      <w:pPr>
        <w:spacing w:line="360" w:lineRule="auto"/>
        <w:rPr>
          <w:rFonts w:ascii="Times New Roman" w:eastAsia="Times New Roman" w:hAnsi="Times New Roman" w:cs="Times New Roman"/>
          <w:sz w:val="24"/>
          <w:szCs w:val="24"/>
          <w:lang w:val="en-US"/>
        </w:rPr>
      </w:pPr>
      <w:r w:rsidRPr="00314F90">
        <w:rPr>
          <w:rFonts w:ascii="Times New Roman" w:eastAsia="Times New Roman" w:hAnsi="Times New Roman" w:cs="Times New Roman"/>
          <w:b/>
          <w:bCs/>
          <w:sz w:val="24"/>
          <w:szCs w:val="24"/>
          <w:lang w:val="en-US"/>
        </w:rPr>
        <w:t>Author</w:t>
      </w:r>
      <w:r w:rsidRPr="00314F90">
        <w:rPr>
          <w:rFonts w:ascii="Times New Roman" w:eastAsia="Times New Roman" w:hAnsi="Times New Roman" w:cs="Times New Roman"/>
          <w:sz w:val="24"/>
          <w:szCs w:val="24"/>
          <w:lang w:val="en-US"/>
        </w:rPr>
        <w:t>: Dr. Otto Lehto</w:t>
      </w:r>
    </w:p>
    <w:p w14:paraId="00000002" w14:textId="77777777" w:rsidR="00CC5992" w:rsidRPr="00314F90" w:rsidRDefault="00000000">
      <w:pPr>
        <w:spacing w:line="360" w:lineRule="auto"/>
        <w:rPr>
          <w:rFonts w:ascii="Times New Roman" w:eastAsia="Times New Roman" w:hAnsi="Times New Roman" w:cs="Times New Roman"/>
          <w:sz w:val="24"/>
          <w:szCs w:val="24"/>
          <w:lang w:val="en-US"/>
        </w:rPr>
      </w:pPr>
      <w:r w:rsidRPr="00314F90">
        <w:rPr>
          <w:rFonts w:ascii="Times New Roman" w:eastAsia="Times New Roman" w:hAnsi="Times New Roman" w:cs="Times New Roman"/>
          <w:b/>
          <w:bCs/>
          <w:sz w:val="24"/>
          <w:szCs w:val="24"/>
          <w:lang w:val="en-US"/>
        </w:rPr>
        <w:t>Institutional affiliation</w:t>
      </w:r>
      <w:r w:rsidRPr="00314F90">
        <w:rPr>
          <w:rFonts w:ascii="Times New Roman" w:eastAsia="Times New Roman" w:hAnsi="Times New Roman" w:cs="Times New Roman"/>
          <w:sz w:val="24"/>
          <w:szCs w:val="24"/>
          <w:lang w:val="en-US"/>
        </w:rPr>
        <w:t>: New York University, School of Law, USA</w:t>
      </w:r>
    </w:p>
    <w:p w14:paraId="00000003" w14:textId="77777777" w:rsidR="00CC5992" w:rsidRPr="00314F90" w:rsidRDefault="00000000">
      <w:pPr>
        <w:spacing w:line="360" w:lineRule="auto"/>
        <w:rPr>
          <w:rFonts w:ascii="Times New Roman" w:eastAsia="Times New Roman" w:hAnsi="Times New Roman" w:cs="Times New Roman"/>
          <w:sz w:val="24"/>
          <w:szCs w:val="24"/>
          <w:lang w:val="en-US"/>
        </w:rPr>
      </w:pPr>
      <w:r w:rsidRPr="00314F90">
        <w:rPr>
          <w:rFonts w:ascii="Times New Roman" w:eastAsia="Times New Roman" w:hAnsi="Times New Roman" w:cs="Times New Roman"/>
          <w:b/>
          <w:bCs/>
          <w:sz w:val="24"/>
          <w:szCs w:val="24"/>
          <w:lang w:val="en-US"/>
        </w:rPr>
        <w:t>Email</w:t>
      </w:r>
      <w:r w:rsidRPr="00314F90">
        <w:rPr>
          <w:rFonts w:ascii="Times New Roman" w:eastAsia="Times New Roman" w:hAnsi="Times New Roman" w:cs="Times New Roman"/>
          <w:sz w:val="24"/>
          <w:szCs w:val="24"/>
          <w:lang w:val="en-US"/>
        </w:rPr>
        <w:t xml:space="preserve">: </w:t>
      </w:r>
      <w:hyperlink r:id="rId8">
        <w:r w:rsidR="00CC5992" w:rsidRPr="00314F90">
          <w:rPr>
            <w:rFonts w:ascii="Times New Roman" w:eastAsia="Times New Roman" w:hAnsi="Times New Roman" w:cs="Times New Roman"/>
            <w:color w:val="1155CC"/>
            <w:sz w:val="24"/>
            <w:szCs w:val="24"/>
            <w:u w:val="single"/>
            <w:lang w:val="en-US"/>
          </w:rPr>
          <w:t>otto.lehto@nyu.edu</w:t>
        </w:r>
      </w:hyperlink>
      <w:r w:rsidRPr="00314F90">
        <w:rPr>
          <w:rFonts w:ascii="Times New Roman" w:eastAsia="Times New Roman" w:hAnsi="Times New Roman" w:cs="Times New Roman"/>
          <w:sz w:val="24"/>
          <w:szCs w:val="24"/>
          <w:lang w:val="en-US"/>
        </w:rPr>
        <w:t xml:space="preserve">  </w:t>
      </w:r>
    </w:p>
    <w:p w14:paraId="00000004" w14:textId="77777777" w:rsidR="00CC5992" w:rsidRPr="00314F90" w:rsidRDefault="00000000">
      <w:pPr>
        <w:spacing w:line="360" w:lineRule="auto"/>
        <w:rPr>
          <w:rFonts w:ascii="Times New Roman" w:eastAsia="Times New Roman" w:hAnsi="Times New Roman" w:cs="Times New Roman"/>
          <w:sz w:val="24"/>
          <w:szCs w:val="24"/>
          <w:lang w:val="en-US"/>
        </w:rPr>
      </w:pPr>
      <w:r w:rsidRPr="00314F90">
        <w:rPr>
          <w:rFonts w:ascii="Times New Roman" w:eastAsia="Times New Roman" w:hAnsi="Times New Roman" w:cs="Times New Roman"/>
          <w:b/>
          <w:bCs/>
          <w:sz w:val="24"/>
          <w:szCs w:val="24"/>
          <w:lang w:val="en-US"/>
        </w:rPr>
        <w:t>ORCID</w:t>
      </w:r>
      <w:r w:rsidRPr="00314F90">
        <w:rPr>
          <w:rFonts w:ascii="Times New Roman" w:eastAsia="Times New Roman" w:hAnsi="Times New Roman" w:cs="Times New Roman"/>
          <w:sz w:val="24"/>
          <w:szCs w:val="24"/>
          <w:lang w:val="en-US"/>
        </w:rPr>
        <w:t xml:space="preserve">: </w:t>
      </w:r>
      <w:hyperlink r:id="rId9">
        <w:r w:rsidR="00CC5992" w:rsidRPr="00314F90">
          <w:rPr>
            <w:rFonts w:ascii="Times New Roman" w:eastAsia="Times New Roman" w:hAnsi="Times New Roman" w:cs="Times New Roman"/>
            <w:color w:val="1155CC"/>
            <w:sz w:val="24"/>
            <w:szCs w:val="24"/>
            <w:u w:val="single"/>
            <w:lang w:val="en-US"/>
          </w:rPr>
          <w:t>https://orcid.org/0000-0003-0267-7640</w:t>
        </w:r>
      </w:hyperlink>
      <w:r w:rsidRPr="00314F90">
        <w:rPr>
          <w:rFonts w:ascii="Times New Roman" w:eastAsia="Times New Roman" w:hAnsi="Times New Roman" w:cs="Times New Roman"/>
          <w:sz w:val="24"/>
          <w:szCs w:val="24"/>
          <w:lang w:val="en-US"/>
        </w:rPr>
        <w:t xml:space="preserve">   </w:t>
      </w:r>
    </w:p>
    <w:p w14:paraId="00000005" w14:textId="77777777" w:rsidR="00CC5992" w:rsidRPr="00314F90" w:rsidRDefault="00CC5992">
      <w:pPr>
        <w:spacing w:line="360" w:lineRule="auto"/>
        <w:rPr>
          <w:rFonts w:ascii="Times New Roman" w:eastAsia="Times New Roman" w:hAnsi="Times New Roman" w:cs="Times New Roman"/>
          <w:sz w:val="24"/>
          <w:szCs w:val="24"/>
          <w:lang w:val="en-US"/>
        </w:rPr>
      </w:pPr>
    </w:p>
    <w:p w14:paraId="00000006" w14:textId="6A18C1CC" w:rsidR="00CC5992" w:rsidRPr="00314F90" w:rsidRDefault="00000000">
      <w:pPr>
        <w:spacing w:line="360" w:lineRule="auto"/>
        <w:rPr>
          <w:rFonts w:ascii="Times New Roman" w:eastAsia="Times New Roman" w:hAnsi="Times New Roman" w:cs="Times New Roman"/>
          <w:sz w:val="24"/>
          <w:szCs w:val="24"/>
          <w:lang w:val="en-US"/>
        </w:rPr>
      </w:pPr>
      <w:r w:rsidRPr="00314F90">
        <w:rPr>
          <w:rFonts w:ascii="Times New Roman" w:eastAsia="Times New Roman" w:hAnsi="Times New Roman" w:cs="Times New Roman"/>
          <w:sz w:val="24"/>
          <w:szCs w:val="24"/>
          <w:lang w:val="en-US"/>
        </w:rPr>
        <w:t>DRAFT 1.</w:t>
      </w:r>
      <w:r w:rsidR="00911550">
        <w:rPr>
          <w:rFonts w:ascii="Times New Roman" w:eastAsia="Times New Roman" w:hAnsi="Times New Roman" w:cs="Times New Roman"/>
          <w:sz w:val="24"/>
          <w:szCs w:val="24"/>
          <w:lang w:val="en-US"/>
        </w:rPr>
        <w:t>2 (March 2026)</w:t>
      </w:r>
      <w:r w:rsidRPr="00314F90">
        <w:rPr>
          <w:rFonts w:ascii="Times New Roman" w:eastAsia="Times New Roman" w:hAnsi="Times New Roman" w:cs="Times New Roman"/>
          <w:sz w:val="24"/>
          <w:szCs w:val="24"/>
          <w:lang w:val="en-US"/>
        </w:rPr>
        <w:t xml:space="preserve"> - UNPUBLISHED</w:t>
      </w:r>
    </w:p>
    <w:p w14:paraId="00000007" w14:textId="77777777" w:rsidR="00CC5992" w:rsidRPr="00314F90" w:rsidRDefault="00CC5992">
      <w:pPr>
        <w:spacing w:line="360" w:lineRule="auto"/>
        <w:rPr>
          <w:rFonts w:ascii="Times New Roman" w:eastAsia="Times New Roman" w:hAnsi="Times New Roman" w:cs="Times New Roman"/>
          <w:sz w:val="24"/>
          <w:szCs w:val="24"/>
          <w:lang w:val="en-US"/>
        </w:rPr>
      </w:pPr>
    </w:p>
    <w:p w14:paraId="00000008" w14:textId="77777777" w:rsidR="00CC5992" w:rsidRPr="00314F90" w:rsidRDefault="00CC5992">
      <w:pPr>
        <w:spacing w:line="360" w:lineRule="auto"/>
        <w:rPr>
          <w:rFonts w:ascii="Times New Roman" w:eastAsia="Times New Roman" w:hAnsi="Times New Roman" w:cs="Times New Roman"/>
          <w:sz w:val="24"/>
          <w:szCs w:val="24"/>
          <w:lang w:val="en-US"/>
        </w:rPr>
      </w:pPr>
    </w:p>
    <w:p w14:paraId="00000009" w14:textId="77777777" w:rsidR="00CC5992" w:rsidRPr="00314F90" w:rsidRDefault="00000000">
      <w:pPr>
        <w:pStyle w:val="Title"/>
        <w:spacing w:line="360" w:lineRule="auto"/>
        <w:rPr>
          <w:lang w:val="en-US"/>
        </w:rPr>
      </w:pPr>
      <w:bookmarkStart w:id="0" w:name="_y8aysomy7f0w" w:colFirst="0" w:colLast="0"/>
      <w:bookmarkEnd w:id="0"/>
      <w:r w:rsidRPr="00314F90">
        <w:rPr>
          <w:lang w:val="en-US"/>
        </w:rPr>
        <w:t xml:space="preserve">“Michel Foucault: From Sovereignty to Governmentality” </w:t>
      </w:r>
    </w:p>
    <w:p w14:paraId="0000000A" w14:textId="77777777" w:rsidR="00CC5992" w:rsidRPr="00314F90" w:rsidRDefault="00CC5992">
      <w:pPr>
        <w:spacing w:line="360" w:lineRule="auto"/>
        <w:rPr>
          <w:rFonts w:ascii="Times New Roman" w:eastAsia="Times New Roman" w:hAnsi="Times New Roman" w:cs="Times New Roman"/>
          <w:b/>
          <w:bCs/>
          <w:sz w:val="28"/>
          <w:szCs w:val="28"/>
          <w:lang w:val="en-US"/>
        </w:rPr>
      </w:pPr>
    </w:p>
    <w:p w14:paraId="0000000B" w14:textId="77777777" w:rsidR="00CC5992" w:rsidRPr="00314F90" w:rsidRDefault="00000000">
      <w:pPr>
        <w:spacing w:line="360" w:lineRule="auto"/>
        <w:rPr>
          <w:rFonts w:ascii="Times New Roman" w:eastAsia="Times New Roman" w:hAnsi="Times New Roman" w:cs="Times New Roman"/>
          <w:sz w:val="28"/>
          <w:szCs w:val="28"/>
          <w:lang w:val="en-US"/>
        </w:rPr>
      </w:pPr>
      <w:r w:rsidRPr="00314F90">
        <w:rPr>
          <w:rFonts w:ascii="Times New Roman" w:eastAsia="Times New Roman" w:hAnsi="Times New Roman" w:cs="Times New Roman"/>
          <w:sz w:val="28"/>
          <w:szCs w:val="28"/>
          <w:lang w:val="en-US"/>
        </w:rPr>
        <w:t xml:space="preserve">A chapter in the book </w:t>
      </w:r>
      <w:r w:rsidRPr="00314F90">
        <w:rPr>
          <w:rFonts w:ascii="Times New Roman" w:eastAsia="Times New Roman" w:hAnsi="Times New Roman" w:cs="Times New Roman"/>
          <w:i/>
          <w:iCs/>
          <w:sz w:val="28"/>
          <w:szCs w:val="28"/>
          <w:lang w:val="en-US"/>
        </w:rPr>
        <w:t xml:space="preserve">Questioning the State </w:t>
      </w:r>
      <w:r w:rsidRPr="00314F90">
        <w:rPr>
          <w:rFonts w:ascii="Times New Roman" w:eastAsia="Times New Roman" w:hAnsi="Times New Roman" w:cs="Times New Roman"/>
          <w:sz w:val="28"/>
          <w:szCs w:val="28"/>
          <w:lang w:val="en-US"/>
        </w:rPr>
        <w:t xml:space="preserve">(Eds. </w:t>
      </w:r>
      <w:r w:rsidRPr="002117D8">
        <w:rPr>
          <w:rFonts w:ascii="Times New Roman" w:eastAsia="Times New Roman" w:hAnsi="Times New Roman" w:cs="Times New Roman"/>
          <w:sz w:val="28"/>
          <w:szCs w:val="28"/>
          <w:lang w:val="en-GB"/>
        </w:rPr>
        <w:t xml:space="preserve">Eugene Callahan &amp; Leye Komolafe). </w:t>
      </w:r>
      <w:r w:rsidRPr="00314F90">
        <w:rPr>
          <w:rFonts w:ascii="Times New Roman" w:eastAsia="Times New Roman" w:hAnsi="Times New Roman" w:cs="Times New Roman"/>
          <w:sz w:val="28"/>
          <w:szCs w:val="28"/>
          <w:lang w:val="en-US"/>
        </w:rPr>
        <w:t>Palgrave, forthcoming.</w:t>
      </w:r>
    </w:p>
    <w:p w14:paraId="0000000C" w14:textId="77777777" w:rsidR="00CC5992" w:rsidRPr="00314F90" w:rsidRDefault="00CC5992">
      <w:pPr>
        <w:spacing w:line="360" w:lineRule="auto"/>
        <w:rPr>
          <w:rFonts w:ascii="Times New Roman" w:eastAsia="Times New Roman" w:hAnsi="Times New Roman" w:cs="Times New Roman"/>
          <w:sz w:val="24"/>
          <w:szCs w:val="24"/>
          <w:lang w:val="en-US"/>
        </w:rPr>
      </w:pPr>
    </w:p>
    <w:p w14:paraId="0000000D" w14:textId="77777777" w:rsidR="00CC5992" w:rsidRPr="00314F90" w:rsidRDefault="00000000">
      <w:pPr>
        <w:spacing w:line="360" w:lineRule="auto"/>
        <w:rPr>
          <w:rFonts w:ascii="Times New Roman" w:eastAsia="Times New Roman" w:hAnsi="Times New Roman" w:cs="Times New Roman"/>
          <w:sz w:val="24"/>
          <w:szCs w:val="24"/>
          <w:lang w:val="en-US"/>
        </w:rPr>
      </w:pPr>
      <w:r w:rsidRPr="00314F90">
        <w:rPr>
          <w:rFonts w:ascii="Times New Roman" w:eastAsia="Times New Roman" w:hAnsi="Times New Roman" w:cs="Times New Roman"/>
          <w:b/>
          <w:bCs/>
          <w:sz w:val="24"/>
          <w:szCs w:val="24"/>
          <w:lang w:val="en-US"/>
        </w:rPr>
        <w:t>Keywords</w:t>
      </w:r>
      <w:r w:rsidRPr="00314F90">
        <w:rPr>
          <w:rFonts w:ascii="Times New Roman" w:eastAsia="Times New Roman" w:hAnsi="Times New Roman" w:cs="Times New Roman"/>
          <w:sz w:val="24"/>
          <w:szCs w:val="24"/>
          <w:lang w:val="en-US"/>
        </w:rPr>
        <w:t>: Foucault, power, governmentality, discipline, biopolitics</w:t>
      </w:r>
    </w:p>
    <w:p w14:paraId="0000000E" w14:textId="77777777" w:rsidR="00CC5992" w:rsidRPr="00314F90" w:rsidRDefault="00CC5992">
      <w:pPr>
        <w:spacing w:line="360" w:lineRule="auto"/>
        <w:rPr>
          <w:rFonts w:ascii="Times New Roman" w:eastAsia="Times New Roman" w:hAnsi="Times New Roman" w:cs="Times New Roman"/>
          <w:sz w:val="24"/>
          <w:szCs w:val="24"/>
          <w:lang w:val="en-US"/>
        </w:rPr>
      </w:pPr>
    </w:p>
    <w:p w14:paraId="0000000F" w14:textId="71BA274A" w:rsidR="00CC5992" w:rsidRPr="00314F90" w:rsidRDefault="00000000">
      <w:pPr>
        <w:spacing w:line="360" w:lineRule="auto"/>
        <w:rPr>
          <w:rFonts w:ascii="Times New Roman" w:eastAsia="Times New Roman" w:hAnsi="Times New Roman" w:cs="Times New Roman"/>
          <w:lang w:val="en-US"/>
        </w:rPr>
      </w:pPr>
      <w:r w:rsidRPr="00314F90">
        <w:rPr>
          <w:rFonts w:ascii="Times New Roman" w:eastAsia="Times New Roman" w:hAnsi="Times New Roman" w:cs="Times New Roman"/>
          <w:b/>
          <w:bCs/>
          <w:sz w:val="24"/>
          <w:szCs w:val="24"/>
          <w:lang w:val="en-US"/>
        </w:rPr>
        <w:t xml:space="preserve">Abstract: </w:t>
      </w:r>
      <w:r w:rsidRPr="00314F90">
        <w:rPr>
          <w:rFonts w:ascii="Times New Roman" w:eastAsia="Times New Roman" w:hAnsi="Times New Roman" w:cs="Times New Roman"/>
          <w:lang w:val="en-US"/>
        </w:rPr>
        <w:t xml:space="preserve">Michel Foucault famously refused to formulate a normative theory of the state, arguing instead that political analysis must </w:t>
      </w:r>
      <w:r w:rsidR="00921EDD">
        <w:rPr>
          <w:rFonts w:ascii="Times New Roman" w:eastAsia="Times New Roman" w:hAnsi="Times New Roman" w:cs="Times New Roman"/>
          <w:lang w:val="en-US"/>
        </w:rPr>
        <w:t>“</w:t>
      </w:r>
      <w:r w:rsidRPr="00314F90">
        <w:rPr>
          <w:rFonts w:ascii="Times New Roman" w:eastAsia="Times New Roman" w:hAnsi="Times New Roman" w:cs="Times New Roman"/>
          <w:lang w:val="en-US"/>
        </w:rPr>
        <w:t xml:space="preserve">cut off the </w:t>
      </w:r>
      <w:r w:rsidR="00493A84" w:rsidRPr="00493A84">
        <w:rPr>
          <w:rFonts w:ascii="Times New Roman" w:eastAsia="Times New Roman" w:hAnsi="Times New Roman" w:cs="Times New Roman"/>
          <w:lang w:val="en-US"/>
        </w:rPr>
        <w:t>King’s</w:t>
      </w:r>
      <w:r w:rsidRPr="00314F90">
        <w:rPr>
          <w:rFonts w:ascii="Times New Roman" w:eastAsia="Times New Roman" w:hAnsi="Times New Roman" w:cs="Times New Roman"/>
          <w:lang w:val="en-US"/>
        </w:rPr>
        <w:t xml:space="preserve"> head.</w:t>
      </w:r>
      <w:r w:rsidR="00921EDD">
        <w:rPr>
          <w:rFonts w:ascii="Times New Roman" w:eastAsia="Times New Roman" w:hAnsi="Times New Roman" w:cs="Times New Roman"/>
          <w:lang w:val="en-US"/>
        </w:rPr>
        <w:t xml:space="preserve">” </w:t>
      </w:r>
      <w:r w:rsidRPr="00314F90">
        <w:rPr>
          <w:rFonts w:ascii="Times New Roman" w:eastAsia="Times New Roman" w:hAnsi="Times New Roman" w:cs="Times New Roman"/>
          <w:lang w:val="en-US"/>
        </w:rPr>
        <w:t xml:space="preserve">This chapter explores Foucault’s relevance to the question of state legitimacy by tracing his analytical shift from the dispersed micro-physics of </w:t>
      </w:r>
      <w:r w:rsidRPr="00314F90">
        <w:rPr>
          <w:rFonts w:ascii="Times New Roman" w:eastAsia="Times New Roman" w:hAnsi="Times New Roman" w:cs="Times New Roman"/>
          <w:i/>
          <w:iCs/>
          <w:lang w:val="en-US"/>
        </w:rPr>
        <w:t>disciplinary power</w:t>
      </w:r>
      <w:r w:rsidRPr="00314F90">
        <w:rPr>
          <w:rFonts w:ascii="Times New Roman" w:eastAsia="Times New Roman" w:hAnsi="Times New Roman" w:cs="Times New Roman"/>
          <w:lang w:val="en-US"/>
        </w:rPr>
        <w:t xml:space="preserve"> to the macro-logic of </w:t>
      </w:r>
      <w:r w:rsidRPr="00314F90">
        <w:rPr>
          <w:rFonts w:ascii="Times New Roman" w:eastAsia="Times New Roman" w:hAnsi="Times New Roman" w:cs="Times New Roman"/>
          <w:i/>
          <w:iCs/>
          <w:lang w:val="en-US"/>
        </w:rPr>
        <w:t>governmentality</w:t>
      </w:r>
      <w:r w:rsidRPr="00314F90">
        <w:rPr>
          <w:rFonts w:ascii="Times New Roman" w:eastAsia="Times New Roman" w:hAnsi="Times New Roman" w:cs="Times New Roman"/>
          <w:lang w:val="en-US"/>
        </w:rPr>
        <w:t xml:space="preserve">. This Foucauldian view challenges hierarchical conceptions of state power in three key ways: it reveals governmentality as a decentralised network rather than a central command; it exposes power as </w:t>
      </w:r>
      <w:r w:rsidRPr="00314F90">
        <w:rPr>
          <w:rFonts w:ascii="Times New Roman" w:eastAsia="Times New Roman" w:hAnsi="Times New Roman" w:cs="Times New Roman"/>
          <w:i/>
          <w:iCs/>
          <w:lang w:val="en-US"/>
        </w:rPr>
        <w:t>productive</w:t>
      </w:r>
      <w:r w:rsidRPr="00314F90">
        <w:rPr>
          <w:rFonts w:ascii="Times New Roman" w:eastAsia="Times New Roman" w:hAnsi="Times New Roman" w:cs="Times New Roman"/>
          <w:lang w:val="en-US"/>
        </w:rPr>
        <w:t xml:space="preserve"> of subjects rather than merely oppressive; and it locates </w:t>
      </w:r>
      <w:r w:rsidRPr="00314F90">
        <w:rPr>
          <w:rFonts w:ascii="Times New Roman" w:eastAsia="Times New Roman" w:hAnsi="Times New Roman" w:cs="Times New Roman"/>
          <w:i/>
          <w:iCs/>
          <w:lang w:val="en-US"/>
        </w:rPr>
        <w:t>counter-power</w:t>
      </w:r>
      <w:r w:rsidRPr="00314F90">
        <w:rPr>
          <w:rFonts w:ascii="Times New Roman" w:eastAsia="Times New Roman" w:hAnsi="Times New Roman" w:cs="Times New Roman"/>
          <w:lang w:val="en-US"/>
        </w:rPr>
        <w:t xml:space="preserve"> in the interstices of the social order, suggesting that resistance takes diverse forms beyond the traditional revolutionary capture of the state; a kind of “</w:t>
      </w:r>
      <w:proofErr w:type="spellStart"/>
      <w:r w:rsidRPr="00314F90">
        <w:rPr>
          <w:rFonts w:ascii="Times New Roman" w:eastAsia="Times New Roman" w:hAnsi="Times New Roman" w:cs="Times New Roman"/>
          <w:lang w:val="en-US"/>
        </w:rPr>
        <w:t>infrapolitics</w:t>
      </w:r>
      <w:proofErr w:type="spellEnd"/>
      <w:r w:rsidRPr="00314F90">
        <w:rPr>
          <w:rFonts w:ascii="Times New Roman" w:eastAsia="Times New Roman" w:hAnsi="Times New Roman" w:cs="Times New Roman"/>
          <w:lang w:val="en-US"/>
        </w:rPr>
        <w:t xml:space="preserve">” that operates in the shadows of official power. To illustrate these insights, the chapter outlines </w:t>
      </w:r>
      <w:r w:rsidR="00394163" w:rsidRPr="00394163">
        <w:rPr>
          <w:rFonts w:ascii="Times New Roman" w:eastAsia="Times New Roman" w:hAnsi="Times New Roman" w:cs="Times New Roman"/>
          <w:lang w:val="en-US"/>
        </w:rPr>
        <w:t>Foucault’s</w:t>
      </w:r>
      <w:r w:rsidRPr="00314F90">
        <w:rPr>
          <w:rFonts w:ascii="Times New Roman" w:eastAsia="Times New Roman" w:hAnsi="Times New Roman" w:cs="Times New Roman"/>
          <w:lang w:val="en-US"/>
        </w:rPr>
        <w:t xml:space="preserve"> </w:t>
      </w:r>
      <w:r w:rsidR="008D6FE3">
        <w:rPr>
          <w:rFonts w:ascii="Times New Roman" w:eastAsia="Times New Roman" w:hAnsi="Times New Roman" w:cs="Times New Roman"/>
          <w:lang w:val="en-US"/>
        </w:rPr>
        <w:t>“</w:t>
      </w:r>
      <w:r w:rsidRPr="00314F90">
        <w:rPr>
          <w:rFonts w:ascii="Times New Roman" w:eastAsia="Times New Roman" w:hAnsi="Times New Roman" w:cs="Times New Roman"/>
          <w:lang w:val="en-US"/>
        </w:rPr>
        <w:t>triangle of power</w:t>
      </w:r>
      <w:r w:rsidR="008D6FE3">
        <w:rPr>
          <w:rFonts w:ascii="Times New Roman" w:eastAsia="Times New Roman" w:hAnsi="Times New Roman" w:cs="Times New Roman"/>
          <w:lang w:val="en-US"/>
        </w:rPr>
        <w:t>”</w:t>
      </w:r>
      <w:r w:rsidRPr="00314F90">
        <w:rPr>
          <w:rFonts w:ascii="Times New Roman" w:eastAsia="Times New Roman" w:hAnsi="Times New Roman" w:cs="Times New Roman"/>
          <w:lang w:val="en-US"/>
        </w:rPr>
        <w:t xml:space="preserve">—Sovereignty, Discipline, and Government (especially in the form of Security/Biopolitics)—showing how the modern state justifies itself. The chapter concludes by examining Foucault’s Kantian-Nietzschean </w:t>
      </w:r>
      <w:r w:rsidR="008D6FE3">
        <w:rPr>
          <w:rFonts w:ascii="Times New Roman" w:eastAsia="Times New Roman" w:hAnsi="Times New Roman" w:cs="Times New Roman"/>
          <w:lang w:val="en-US"/>
        </w:rPr>
        <w:t>“</w:t>
      </w:r>
      <w:r w:rsidRPr="00314F90">
        <w:rPr>
          <w:rFonts w:ascii="Times New Roman" w:eastAsia="Times New Roman" w:hAnsi="Times New Roman" w:cs="Times New Roman"/>
          <w:lang w:val="en-US"/>
        </w:rPr>
        <w:t>critical attitude,</w:t>
      </w:r>
      <w:r w:rsidR="008D6FE3">
        <w:rPr>
          <w:rFonts w:ascii="Times New Roman" w:eastAsia="Times New Roman" w:hAnsi="Times New Roman" w:cs="Times New Roman"/>
          <w:lang w:val="en-US"/>
        </w:rPr>
        <w:t>”</w:t>
      </w:r>
      <w:r w:rsidRPr="00314F90">
        <w:rPr>
          <w:rFonts w:ascii="Times New Roman" w:eastAsia="Times New Roman" w:hAnsi="Times New Roman" w:cs="Times New Roman"/>
          <w:lang w:val="en-US"/>
        </w:rPr>
        <w:t xml:space="preserve"> arguing that his genealogical method offers a distinct mode of normative critique. By exposing the historical contingency of state rationality, Foucault provides a toolkit for </w:t>
      </w:r>
      <w:r w:rsidRPr="00314F90">
        <w:rPr>
          <w:rFonts w:ascii="Times New Roman" w:eastAsia="Times New Roman" w:hAnsi="Times New Roman" w:cs="Times New Roman"/>
          <w:i/>
          <w:iCs/>
          <w:lang w:val="en-US"/>
        </w:rPr>
        <w:t>counter-conduct</w:t>
      </w:r>
      <w:r w:rsidRPr="00314F90">
        <w:rPr>
          <w:rFonts w:ascii="Times New Roman" w:eastAsia="Times New Roman" w:hAnsi="Times New Roman" w:cs="Times New Roman"/>
          <w:lang w:val="en-US"/>
        </w:rPr>
        <w:t>: the critical and ethical practice of resisting the specific ways in which we are governed.</w:t>
      </w:r>
    </w:p>
    <w:p w14:paraId="00000010" w14:textId="77777777" w:rsidR="00CC5992" w:rsidRPr="00314F90" w:rsidRDefault="00CC5992">
      <w:pPr>
        <w:spacing w:line="360" w:lineRule="auto"/>
        <w:rPr>
          <w:rFonts w:ascii="Times New Roman" w:eastAsia="Times New Roman" w:hAnsi="Times New Roman" w:cs="Times New Roman"/>
          <w:sz w:val="24"/>
          <w:szCs w:val="24"/>
          <w:lang w:val="en-US"/>
        </w:rPr>
      </w:pPr>
    </w:p>
    <w:p w14:paraId="00000011" w14:textId="77777777" w:rsidR="00CC5992" w:rsidRPr="00314F90" w:rsidRDefault="00CC5992">
      <w:pPr>
        <w:spacing w:line="360" w:lineRule="auto"/>
        <w:rPr>
          <w:rFonts w:ascii="Times New Roman" w:eastAsia="Times New Roman" w:hAnsi="Times New Roman" w:cs="Times New Roman"/>
          <w:sz w:val="24"/>
          <w:szCs w:val="24"/>
          <w:lang w:val="en-US"/>
        </w:rPr>
      </w:pPr>
    </w:p>
    <w:p w14:paraId="00000012" w14:textId="77777777" w:rsidR="00CC5992" w:rsidRDefault="00000000">
      <w:pPr>
        <w:pStyle w:val="Heading2"/>
        <w:numPr>
          <w:ilvl w:val="0"/>
          <w:numId w:val="2"/>
        </w:numPr>
        <w:spacing w:line="360" w:lineRule="auto"/>
      </w:pPr>
      <w:bookmarkStart w:id="1" w:name="_ecb59tsckh9" w:colFirst="0" w:colLast="0"/>
      <w:bookmarkEnd w:id="1"/>
      <w:r>
        <w:t>Introduction</w:t>
      </w:r>
    </w:p>
    <w:p w14:paraId="00000013" w14:textId="213DE6A2" w:rsidR="00CC5992" w:rsidRPr="00314F90" w:rsidRDefault="00000000">
      <w:pPr>
        <w:spacing w:before="240" w:after="240" w:line="360" w:lineRule="auto"/>
        <w:rPr>
          <w:rFonts w:ascii="Times New Roman" w:eastAsia="Times New Roman" w:hAnsi="Times New Roman" w:cs="Times New Roman"/>
          <w:sz w:val="24"/>
          <w:szCs w:val="24"/>
          <w:lang w:val="en-US"/>
        </w:rPr>
      </w:pPr>
      <w:r w:rsidRPr="00314F90">
        <w:rPr>
          <w:rFonts w:ascii="Times New Roman" w:eastAsia="Times New Roman" w:hAnsi="Times New Roman" w:cs="Times New Roman"/>
          <w:sz w:val="24"/>
          <w:szCs w:val="24"/>
          <w:lang w:val="en-US"/>
        </w:rPr>
        <w:t xml:space="preserve">In a lecture delivered at the </w:t>
      </w:r>
      <w:r w:rsidRPr="00314F90">
        <w:rPr>
          <w:rFonts w:ascii="Times New Roman" w:eastAsia="Times New Roman" w:hAnsi="Times New Roman" w:cs="Times New Roman"/>
          <w:i/>
          <w:iCs/>
          <w:sz w:val="24"/>
          <w:szCs w:val="24"/>
          <w:lang w:val="en-US"/>
        </w:rPr>
        <w:t>Collège de France</w:t>
      </w:r>
      <w:r w:rsidRPr="00314F90">
        <w:rPr>
          <w:rFonts w:ascii="Times New Roman" w:eastAsia="Times New Roman" w:hAnsi="Times New Roman" w:cs="Times New Roman"/>
          <w:sz w:val="24"/>
          <w:szCs w:val="24"/>
          <w:lang w:val="en-US"/>
        </w:rPr>
        <w:t xml:space="preserve"> in 1979, Michel Foucault addressed a phenomenon he termed “state phobia”: a prevalent critical anxiety that</w:t>
      </w:r>
      <w:r w:rsidR="00897A4B">
        <w:rPr>
          <w:rFonts w:ascii="Times New Roman" w:eastAsia="Times New Roman" w:hAnsi="Times New Roman" w:cs="Times New Roman"/>
          <w:sz w:val="24"/>
          <w:szCs w:val="24"/>
          <w:lang w:val="en-US"/>
        </w:rPr>
        <w:t>, invoking Nietzsche’s famous trope,</w:t>
      </w:r>
      <w:r w:rsidR="00951B80">
        <w:rPr>
          <w:rFonts w:ascii="Times New Roman" w:eastAsia="Times New Roman" w:hAnsi="Times New Roman" w:cs="Times New Roman"/>
          <w:sz w:val="24"/>
          <w:szCs w:val="24"/>
          <w:lang w:val="en-US"/>
        </w:rPr>
        <w:t xml:space="preserve"> </w:t>
      </w:r>
      <w:r w:rsidR="00FB4011">
        <w:rPr>
          <w:rFonts w:ascii="Times New Roman" w:eastAsia="Times New Roman" w:hAnsi="Times New Roman" w:cs="Times New Roman"/>
          <w:sz w:val="24"/>
          <w:szCs w:val="24"/>
          <w:lang w:val="en-US"/>
        </w:rPr>
        <w:t>views the sta</w:t>
      </w:r>
      <w:r w:rsidR="00897A4B">
        <w:rPr>
          <w:rFonts w:ascii="Times New Roman" w:eastAsia="Times New Roman" w:hAnsi="Times New Roman" w:cs="Times New Roman"/>
          <w:sz w:val="24"/>
          <w:szCs w:val="24"/>
          <w:lang w:val="en-US"/>
        </w:rPr>
        <w:t>te</w:t>
      </w:r>
      <w:r w:rsidR="00FB4011">
        <w:rPr>
          <w:rFonts w:ascii="Times New Roman" w:eastAsia="Times New Roman" w:hAnsi="Times New Roman" w:cs="Times New Roman"/>
          <w:sz w:val="24"/>
          <w:szCs w:val="24"/>
          <w:lang w:val="en-US"/>
        </w:rPr>
        <w:t xml:space="preserve"> </w:t>
      </w:r>
      <w:r w:rsidRPr="00314F90">
        <w:rPr>
          <w:rFonts w:ascii="Times New Roman" w:eastAsia="Times New Roman" w:hAnsi="Times New Roman" w:cs="Times New Roman"/>
          <w:sz w:val="24"/>
          <w:szCs w:val="24"/>
          <w:lang w:val="en-US"/>
        </w:rPr>
        <w:t xml:space="preserve">as a </w:t>
      </w:r>
      <w:r w:rsidR="00EE4CC7">
        <w:rPr>
          <w:rFonts w:ascii="Times New Roman" w:eastAsia="Times New Roman" w:hAnsi="Times New Roman" w:cs="Times New Roman"/>
          <w:sz w:val="24"/>
          <w:szCs w:val="24"/>
          <w:lang w:val="en-US"/>
        </w:rPr>
        <w:t>“</w:t>
      </w:r>
      <w:r w:rsidRPr="00314F90">
        <w:rPr>
          <w:rFonts w:ascii="Times New Roman" w:eastAsia="Times New Roman" w:hAnsi="Times New Roman" w:cs="Times New Roman"/>
          <w:sz w:val="24"/>
          <w:szCs w:val="24"/>
          <w:lang w:val="en-US"/>
        </w:rPr>
        <w:t>cold monster</w:t>
      </w:r>
      <w:r w:rsidR="00BD6F59">
        <w:rPr>
          <w:rFonts w:ascii="Times New Roman" w:eastAsia="Times New Roman" w:hAnsi="Times New Roman" w:cs="Times New Roman"/>
          <w:sz w:val="24"/>
          <w:szCs w:val="24"/>
          <w:lang w:val="en-US"/>
        </w:rPr>
        <w:t>,</w:t>
      </w:r>
      <w:r w:rsidRPr="00314F90">
        <w:rPr>
          <w:rFonts w:ascii="Times New Roman" w:eastAsia="Times New Roman" w:hAnsi="Times New Roman" w:cs="Times New Roman"/>
          <w:sz w:val="24"/>
          <w:szCs w:val="24"/>
          <w:lang w:val="en-US"/>
        </w:rPr>
        <w:t>”</w:t>
      </w:r>
      <w:r w:rsidR="00BD6F59" w:rsidRPr="00897A4B" w:rsidDel="00BD6F59">
        <w:rPr>
          <w:rFonts w:ascii="Times New Roman" w:eastAsia="Times New Roman" w:hAnsi="Times New Roman" w:cs="Times New Roman"/>
          <w:sz w:val="24"/>
          <w:szCs w:val="24"/>
          <w:lang w:val="en-GB"/>
        </w:rPr>
        <w:t xml:space="preserve"> </w:t>
      </w:r>
      <w:r w:rsidRPr="00314F90">
        <w:rPr>
          <w:rFonts w:ascii="Times New Roman" w:eastAsia="Times New Roman" w:hAnsi="Times New Roman" w:cs="Times New Roman"/>
          <w:sz w:val="24"/>
          <w:szCs w:val="24"/>
          <w:lang w:val="en-US"/>
        </w:rPr>
        <w:t>an intrinsic source of domination that expands inevitably until it swallows civil society</w:t>
      </w:r>
      <w:r w:rsidR="00D43833">
        <w:rPr>
          <w:rFonts w:ascii="Times New Roman" w:eastAsia="Times New Roman" w:hAnsi="Times New Roman" w:cs="Times New Roman"/>
          <w:sz w:val="24"/>
          <w:szCs w:val="24"/>
          <w:lang w:val="en-US"/>
        </w:rPr>
        <w:t>.</w:t>
      </w:r>
      <w:r w:rsidR="00314F90">
        <w:rPr>
          <w:rStyle w:val="FootnoteReference"/>
          <w:rFonts w:ascii="Times New Roman" w:eastAsia="Times New Roman" w:hAnsi="Times New Roman" w:cs="Times New Roman"/>
          <w:sz w:val="24"/>
          <w:szCs w:val="24"/>
          <w:lang w:val="en-US"/>
        </w:rPr>
        <w:footnoteReference w:id="1"/>
      </w:r>
      <w:r w:rsidRPr="00314F90">
        <w:rPr>
          <w:rFonts w:ascii="Times New Roman" w:eastAsia="Times New Roman" w:hAnsi="Times New Roman" w:cs="Times New Roman"/>
          <w:sz w:val="24"/>
          <w:szCs w:val="24"/>
          <w:lang w:val="en-US"/>
        </w:rPr>
        <w:t xml:space="preserve"> Against this </w:t>
      </w:r>
      <w:proofErr w:type="spellStart"/>
      <w:r w:rsidRPr="00314F90">
        <w:rPr>
          <w:rFonts w:ascii="Times New Roman" w:eastAsia="Times New Roman" w:hAnsi="Times New Roman" w:cs="Times New Roman"/>
          <w:sz w:val="24"/>
          <w:szCs w:val="24"/>
          <w:lang w:val="en-US"/>
        </w:rPr>
        <w:t>totalising</w:t>
      </w:r>
      <w:proofErr w:type="spellEnd"/>
      <w:r w:rsidRPr="00314F90">
        <w:rPr>
          <w:rFonts w:ascii="Times New Roman" w:eastAsia="Times New Roman" w:hAnsi="Times New Roman" w:cs="Times New Roman"/>
          <w:sz w:val="24"/>
          <w:szCs w:val="24"/>
          <w:lang w:val="en-US"/>
        </w:rPr>
        <w:t xml:space="preserve"> view, Foucault offered a provocation that remains one of the most controversial aspects of his political thought: </w:t>
      </w:r>
      <w:r w:rsidR="00B0251D">
        <w:rPr>
          <w:rFonts w:ascii="Times New Roman" w:eastAsia="Times New Roman" w:hAnsi="Times New Roman" w:cs="Times New Roman"/>
          <w:sz w:val="24"/>
          <w:szCs w:val="24"/>
          <w:lang w:val="en-US"/>
        </w:rPr>
        <w:t xml:space="preserve">that </w:t>
      </w:r>
      <w:r w:rsidR="00B0251D" w:rsidRPr="0045202B">
        <w:rPr>
          <w:rFonts w:ascii="Times New Roman" w:eastAsia="Times New Roman" w:hAnsi="Times New Roman" w:cs="Times New Roman"/>
          <w:sz w:val="24"/>
          <w:szCs w:val="24"/>
          <w:lang w:val="en-US"/>
        </w:rPr>
        <w:t>the state does not exist</w:t>
      </w:r>
      <w:r w:rsidR="0045202B" w:rsidRPr="0045202B">
        <w:rPr>
          <w:rFonts w:ascii="Times New Roman" w:eastAsia="Times New Roman" w:hAnsi="Times New Roman" w:cs="Times New Roman"/>
          <w:sz w:val="24"/>
          <w:szCs w:val="24"/>
          <w:lang w:val="en-US"/>
        </w:rPr>
        <w:t xml:space="preserve"> </w:t>
      </w:r>
      <w:r w:rsidR="00B0251D" w:rsidRPr="00B0251D">
        <w:rPr>
          <w:rFonts w:ascii="Times New Roman" w:eastAsia="Times New Roman" w:hAnsi="Times New Roman" w:cs="Times New Roman"/>
          <w:sz w:val="24"/>
          <w:szCs w:val="24"/>
          <w:lang w:val="en-US"/>
        </w:rPr>
        <w:t>as a unitary source of power.</w:t>
      </w:r>
      <w:r w:rsidR="00314F90">
        <w:rPr>
          <w:rStyle w:val="FootnoteReference"/>
          <w:rFonts w:ascii="Times New Roman" w:eastAsia="Times New Roman" w:hAnsi="Times New Roman" w:cs="Times New Roman"/>
          <w:sz w:val="24"/>
          <w:szCs w:val="24"/>
          <w:lang w:val="en-US"/>
        </w:rPr>
        <w:footnoteReference w:id="2"/>
      </w:r>
      <w:r w:rsidRPr="00314F90">
        <w:rPr>
          <w:rFonts w:ascii="Times New Roman" w:eastAsia="Times New Roman" w:hAnsi="Times New Roman" w:cs="Times New Roman"/>
          <w:sz w:val="24"/>
          <w:szCs w:val="24"/>
          <w:lang w:val="en-US"/>
        </w:rPr>
        <w:t xml:space="preserve"> He did not mean, of course, that armies, bureaucracies, and ministries are hallucinations. Rather, he insisted that the state has no fixed essence or autonomous historical necessity. It is not a universal subject that holds power; it is a “structural effect” or a “regime of multiple governmentalities,” a composite reality formed by the </w:t>
      </w:r>
      <w:proofErr w:type="spellStart"/>
      <w:r w:rsidRPr="00314F90">
        <w:rPr>
          <w:rFonts w:ascii="Times New Roman" w:eastAsia="Times New Roman" w:hAnsi="Times New Roman" w:cs="Times New Roman"/>
          <w:sz w:val="24"/>
          <w:szCs w:val="24"/>
          <w:lang w:val="en-US"/>
        </w:rPr>
        <w:t>crystallisation</w:t>
      </w:r>
      <w:proofErr w:type="spellEnd"/>
      <w:r w:rsidRPr="00314F90">
        <w:rPr>
          <w:rFonts w:ascii="Times New Roman" w:eastAsia="Times New Roman" w:hAnsi="Times New Roman" w:cs="Times New Roman"/>
          <w:sz w:val="24"/>
          <w:szCs w:val="24"/>
          <w:lang w:val="en-US"/>
        </w:rPr>
        <w:t xml:space="preserve"> of diverse relations of power</w:t>
      </w:r>
      <w:r w:rsidR="00314F90">
        <w:rPr>
          <w:rFonts w:ascii="Times New Roman" w:eastAsia="Times New Roman" w:hAnsi="Times New Roman" w:cs="Times New Roman"/>
          <w:sz w:val="24"/>
          <w:szCs w:val="24"/>
          <w:lang w:val="en-US"/>
        </w:rPr>
        <w:t>.</w:t>
      </w:r>
      <w:r w:rsidR="00314F90">
        <w:rPr>
          <w:rStyle w:val="FootnoteReference"/>
          <w:rFonts w:ascii="Times New Roman" w:eastAsia="Times New Roman" w:hAnsi="Times New Roman" w:cs="Times New Roman"/>
          <w:sz w:val="24"/>
          <w:szCs w:val="24"/>
          <w:lang w:val="en-US"/>
        </w:rPr>
        <w:footnoteReference w:id="3"/>
      </w:r>
    </w:p>
    <w:p w14:paraId="00000014" w14:textId="77777777" w:rsidR="00CC5992" w:rsidRPr="00314F90" w:rsidRDefault="00000000">
      <w:pPr>
        <w:spacing w:before="240" w:after="240" w:line="360" w:lineRule="auto"/>
        <w:rPr>
          <w:rFonts w:ascii="Times New Roman" w:eastAsia="Times New Roman" w:hAnsi="Times New Roman" w:cs="Times New Roman"/>
          <w:sz w:val="24"/>
          <w:szCs w:val="24"/>
          <w:lang w:val="en-US"/>
        </w:rPr>
      </w:pPr>
      <w:r w:rsidRPr="00314F90">
        <w:rPr>
          <w:rFonts w:ascii="Times New Roman" w:eastAsia="Times New Roman" w:hAnsi="Times New Roman" w:cs="Times New Roman"/>
          <w:sz w:val="24"/>
          <w:szCs w:val="24"/>
          <w:lang w:val="en-US"/>
        </w:rPr>
        <w:t>To understand how such a thinker is relevant for the justification and questioning of state power, it is helpful to first distinguish between two dominant modes of political theory:</w:t>
      </w:r>
    </w:p>
    <w:p w14:paraId="00000015" w14:textId="0127D5CF" w:rsidR="00CC5992" w:rsidRPr="00314F90" w:rsidRDefault="00000000">
      <w:pPr>
        <w:numPr>
          <w:ilvl w:val="0"/>
          <w:numId w:val="1"/>
        </w:numPr>
        <w:spacing w:before="240" w:line="360" w:lineRule="auto"/>
        <w:rPr>
          <w:rFonts w:ascii="Times New Roman" w:eastAsia="Times New Roman" w:hAnsi="Times New Roman" w:cs="Times New Roman"/>
          <w:sz w:val="24"/>
          <w:szCs w:val="24"/>
          <w:lang w:val="en-US"/>
        </w:rPr>
      </w:pPr>
      <w:r w:rsidRPr="00314F90">
        <w:rPr>
          <w:rFonts w:ascii="Times New Roman" w:eastAsia="Times New Roman" w:hAnsi="Times New Roman" w:cs="Times New Roman"/>
          <w:i/>
          <w:iCs/>
          <w:sz w:val="24"/>
          <w:szCs w:val="24"/>
          <w:lang w:val="en-US"/>
        </w:rPr>
        <w:t>Mode A (Explicit Normative Justification):</w:t>
      </w:r>
      <w:r w:rsidRPr="00314F90">
        <w:rPr>
          <w:rFonts w:ascii="Times New Roman" w:eastAsia="Times New Roman" w:hAnsi="Times New Roman" w:cs="Times New Roman"/>
          <w:sz w:val="24"/>
          <w:szCs w:val="24"/>
          <w:lang w:val="en-US"/>
        </w:rPr>
        <w:t xml:space="preserve"> This is the domain of traditional political philosophy (from </w:t>
      </w:r>
      <w:r w:rsidR="009A6385">
        <w:rPr>
          <w:rFonts w:ascii="Times New Roman" w:eastAsia="Times New Roman" w:hAnsi="Times New Roman" w:cs="Times New Roman"/>
          <w:sz w:val="24"/>
          <w:szCs w:val="24"/>
          <w:lang w:val="en-US"/>
        </w:rPr>
        <w:t xml:space="preserve">Thomas </w:t>
      </w:r>
      <w:r w:rsidRPr="00314F90">
        <w:rPr>
          <w:rFonts w:ascii="Times New Roman" w:eastAsia="Times New Roman" w:hAnsi="Times New Roman" w:cs="Times New Roman"/>
          <w:sz w:val="24"/>
          <w:szCs w:val="24"/>
          <w:lang w:val="en-US"/>
        </w:rPr>
        <w:t xml:space="preserve">Hobbes to </w:t>
      </w:r>
      <w:r w:rsidR="009A6385">
        <w:rPr>
          <w:rFonts w:ascii="Times New Roman" w:eastAsia="Times New Roman" w:hAnsi="Times New Roman" w:cs="Times New Roman"/>
          <w:sz w:val="24"/>
          <w:szCs w:val="24"/>
          <w:lang w:val="en-US"/>
        </w:rPr>
        <w:t xml:space="preserve">John </w:t>
      </w:r>
      <w:r w:rsidRPr="00314F90">
        <w:rPr>
          <w:rFonts w:ascii="Times New Roman" w:eastAsia="Times New Roman" w:hAnsi="Times New Roman" w:cs="Times New Roman"/>
          <w:sz w:val="24"/>
          <w:szCs w:val="24"/>
          <w:lang w:val="en-US"/>
        </w:rPr>
        <w:t>Rawls), where the primary goal is to establish the moral foundations of the state.</w:t>
      </w:r>
      <w:r w:rsidR="000609B2">
        <w:rPr>
          <w:rStyle w:val="FootnoteReference"/>
          <w:rFonts w:ascii="Times New Roman" w:eastAsia="Times New Roman" w:hAnsi="Times New Roman" w:cs="Times New Roman"/>
          <w:sz w:val="24"/>
          <w:szCs w:val="24"/>
          <w:lang w:val="en-US"/>
        </w:rPr>
        <w:footnoteReference w:id="4"/>
      </w:r>
      <w:r w:rsidRPr="00314F90">
        <w:rPr>
          <w:rFonts w:ascii="Times New Roman" w:eastAsia="Times New Roman" w:hAnsi="Times New Roman" w:cs="Times New Roman"/>
          <w:sz w:val="24"/>
          <w:szCs w:val="24"/>
          <w:lang w:val="en-US"/>
        </w:rPr>
        <w:t xml:space="preserve"> It asks under what conditions is state coercion legitimate, what are the normative limits of sovereignty, and when is resistance justified.</w:t>
      </w:r>
    </w:p>
    <w:p w14:paraId="00000016" w14:textId="765A7123" w:rsidR="00CC5992" w:rsidRPr="00314F90" w:rsidRDefault="00000000">
      <w:pPr>
        <w:numPr>
          <w:ilvl w:val="0"/>
          <w:numId w:val="1"/>
        </w:numPr>
        <w:spacing w:after="240" w:line="360" w:lineRule="auto"/>
        <w:rPr>
          <w:rFonts w:ascii="Times New Roman" w:eastAsia="Times New Roman" w:hAnsi="Times New Roman" w:cs="Times New Roman"/>
          <w:sz w:val="24"/>
          <w:szCs w:val="24"/>
          <w:lang w:val="en-US"/>
        </w:rPr>
      </w:pPr>
      <w:r w:rsidRPr="00314F90">
        <w:rPr>
          <w:rFonts w:ascii="Times New Roman" w:eastAsia="Times New Roman" w:hAnsi="Times New Roman" w:cs="Times New Roman"/>
          <w:i/>
          <w:iCs/>
          <w:sz w:val="24"/>
          <w:szCs w:val="24"/>
          <w:lang w:val="en-US"/>
        </w:rPr>
        <w:t>Mode B (Descriptive Analysis):</w:t>
      </w:r>
      <w:r w:rsidRPr="00314F90">
        <w:rPr>
          <w:rFonts w:ascii="Times New Roman" w:eastAsia="Times New Roman" w:hAnsi="Times New Roman" w:cs="Times New Roman"/>
          <w:sz w:val="24"/>
          <w:szCs w:val="24"/>
          <w:lang w:val="en-US"/>
        </w:rPr>
        <w:t xml:space="preserve"> This is the domain of most political science and historical sociology (</w:t>
      </w:r>
      <w:r w:rsidR="008F307B">
        <w:rPr>
          <w:rFonts w:ascii="Times New Roman" w:eastAsia="Times New Roman" w:hAnsi="Times New Roman" w:cs="Times New Roman"/>
          <w:sz w:val="24"/>
          <w:szCs w:val="24"/>
          <w:lang w:val="en-US"/>
        </w:rPr>
        <w:t xml:space="preserve">from </w:t>
      </w:r>
      <w:r w:rsidR="009A6385">
        <w:rPr>
          <w:rFonts w:ascii="Times New Roman" w:eastAsia="Times New Roman" w:hAnsi="Times New Roman" w:cs="Times New Roman"/>
          <w:sz w:val="24"/>
          <w:szCs w:val="24"/>
          <w:lang w:val="en-US"/>
        </w:rPr>
        <w:t xml:space="preserve">Max </w:t>
      </w:r>
      <w:r w:rsidRPr="00314F90">
        <w:rPr>
          <w:rFonts w:ascii="Times New Roman" w:eastAsia="Times New Roman" w:hAnsi="Times New Roman" w:cs="Times New Roman"/>
          <w:sz w:val="24"/>
          <w:szCs w:val="24"/>
          <w:lang w:val="en-US"/>
        </w:rPr>
        <w:t>Weber</w:t>
      </w:r>
      <w:r w:rsidR="008F307B">
        <w:rPr>
          <w:rFonts w:ascii="Times New Roman" w:eastAsia="Times New Roman" w:hAnsi="Times New Roman" w:cs="Times New Roman"/>
          <w:sz w:val="24"/>
          <w:szCs w:val="24"/>
          <w:lang w:val="en-US"/>
        </w:rPr>
        <w:t xml:space="preserve"> to R</w:t>
      </w:r>
      <w:r w:rsidR="006806D0">
        <w:rPr>
          <w:rFonts w:ascii="Times New Roman" w:eastAsia="Times New Roman" w:hAnsi="Times New Roman" w:cs="Times New Roman"/>
          <w:sz w:val="24"/>
          <w:szCs w:val="24"/>
          <w:lang w:val="en-US"/>
        </w:rPr>
        <w:t>a</w:t>
      </w:r>
      <w:r w:rsidR="008F307B">
        <w:rPr>
          <w:rFonts w:ascii="Times New Roman" w:eastAsia="Times New Roman" w:hAnsi="Times New Roman" w:cs="Times New Roman"/>
          <w:sz w:val="24"/>
          <w:szCs w:val="24"/>
          <w:lang w:val="en-US"/>
        </w:rPr>
        <w:t xml:space="preserve">ymond </w:t>
      </w:r>
      <w:proofErr w:type="spellStart"/>
      <w:r w:rsidR="008F307B">
        <w:rPr>
          <w:rFonts w:ascii="Times New Roman" w:eastAsia="Times New Roman" w:hAnsi="Times New Roman" w:cs="Times New Roman"/>
          <w:sz w:val="24"/>
          <w:szCs w:val="24"/>
          <w:lang w:val="en-US"/>
        </w:rPr>
        <w:t>Geuss</w:t>
      </w:r>
      <w:proofErr w:type="spellEnd"/>
      <w:r w:rsidRPr="00314F90">
        <w:rPr>
          <w:rFonts w:ascii="Times New Roman" w:eastAsia="Times New Roman" w:hAnsi="Times New Roman" w:cs="Times New Roman"/>
          <w:sz w:val="24"/>
          <w:szCs w:val="24"/>
          <w:lang w:val="en-US"/>
        </w:rPr>
        <w:t>).</w:t>
      </w:r>
      <w:r w:rsidR="000609B2">
        <w:rPr>
          <w:rStyle w:val="FootnoteReference"/>
          <w:rFonts w:ascii="Times New Roman" w:eastAsia="Times New Roman" w:hAnsi="Times New Roman" w:cs="Times New Roman"/>
          <w:sz w:val="24"/>
          <w:szCs w:val="24"/>
          <w:lang w:val="en-US"/>
        </w:rPr>
        <w:footnoteReference w:id="5"/>
      </w:r>
      <w:r w:rsidRPr="00314F90">
        <w:rPr>
          <w:rFonts w:ascii="Times New Roman" w:eastAsia="Times New Roman" w:hAnsi="Times New Roman" w:cs="Times New Roman"/>
          <w:sz w:val="24"/>
          <w:szCs w:val="24"/>
          <w:lang w:val="en-US"/>
        </w:rPr>
        <w:t xml:space="preserve"> Its goal is empirical and </w:t>
      </w:r>
      <w:r w:rsidRPr="00314F90">
        <w:rPr>
          <w:rFonts w:ascii="Times New Roman" w:eastAsia="Times New Roman" w:hAnsi="Times New Roman" w:cs="Times New Roman"/>
          <w:sz w:val="24"/>
          <w:szCs w:val="24"/>
          <w:lang w:val="en-US"/>
        </w:rPr>
        <w:lastRenderedPageBreak/>
        <w:t>explanatory, describing justifications as social facts without necessarily endorsing</w:t>
      </w:r>
      <w:r w:rsidR="00446FF4">
        <w:rPr>
          <w:rFonts w:ascii="Times New Roman" w:eastAsia="Times New Roman" w:hAnsi="Times New Roman" w:cs="Times New Roman"/>
          <w:sz w:val="24"/>
          <w:szCs w:val="24"/>
          <w:lang w:val="en-US"/>
        </w:rPr>
        <w:t xml:space="preserve"> or </w:t>
      </w:r>
      <w:proofErr w:type="spellStart"/>
      <w:r w:rsidR="00446FF4">
        <w:rPr>
          <w:rFonts w:ascii="Times New Roman" w:eastAsia="Times New Roman" w:hAnsi="Times New Roman" w:cs="Times New Roman"/>
          <w:sz w:val="24"/>
          <w:szCs w:val="24"/>
          <w:lang w:val="en-US"/>
        </w:rPr>
        <w:t>criticising</w:t>
      </w:r>
      <w:proofErr w:type="spellEnd"/>
      <w:r w:rsidRPr="00314F90">
        <w:rPr>
          <w:rFonts w:ascii="Times New Roman" w:eastAsia="Times New Roman" w:hAnsi="Times New Roman" w:cs="Times New Roman"/>
          <w:sz w:val="24"/>
          <w:szCs w:val="24"/>
          <w:lang w:val="en-US"/>
        </w:rPr>
        <w:t xml:space="preserve"> them.</w:t>
      </w:r>
    </w:p>
    <w:p w14:paraId="552E680D" w14:textId="06B33897" w:rsidR="009A6385" w:rsidRPr="00314F90" w:rsidRDefault="00000000" w:rsidP="009A6385">
      <w:pPr>
        <w:spacing w:before="240" w:after="240" w:line="360" w:lineRule="auto"/>
        <w:rPr>
          <w:rFonts w:ascii="Times New Roman" w:eastAsia="Times New Roman" w:hAnsi="Times New Roman" w:cs="Times New Roman"/>
          <w:sz w:val="24"/>
          <w:szCs w:val="24"/>
          <w:lang w:val="en-US"/>
        </w:rPr>
      </w:pPr>
      <w:r w:rsidRPr="00314F90">
        <w:rPr>
          <w:rFonts w:ascii="Times New Roman" w:eastAsia="Times New Roman" w:hAnsi="Times New Roman" w:cs="Times New Roman"/>
          <w:sz w:val="24"/>
          <w:szCs w:val="24"/>
          <w:lang w:val="en-US"/>
        </w:rPr>
        <w:t xml:space="preserve">Foucault’s relationship to these modes is famously slippery. He explicitly rejected </w:t>
      </w:r>
      <w:r w:rsidRPr="00314F90">
        <w:rPr>
          <w:rFonts w:ascii="Times New Roman" w:eastAsia="Times New Roman" w:hAnsi="Times New Roman" w:cs="Times New Roman"/>
          <w:i/>
          <w:iCs/>
          <w:sz w:val="24"/>
          <w:szCs w:val="24"/>
          <w:lang w:val="en-US"/>
        </w:rPr>
        <w:t>Mode A</w:t>
      </w:r>
      <w:r w:rsidRPr="00314F90">
        <w:rPr>
          <w:rFonts w:ascii="Times New Roman" w:eastAsia="Times New Roman" w:hAnsi="Times New Roman" w:cs="Times New Roman"/>
          <w:sz w:val="24"/>
          <w:szCs w:val="24"/>
          <w:lang w:val="en-US"/>
        </w:rPr>
        <w:t>, dismissing the search for legitimate sovereignty as an outdated</w:t>
      </w:r>
      <w:r w:rsidR="00D335B1">
        <w:rPr>
          <w:rFonts w:ascii="Times New Roman" w:eastAsia="Times New Roman" w:hAnsi="Times New Roman" w:cs="Times New Roman"/>
          <w:sz w:val="24"/>
          <w:szCs w:val="24"/>
          <w:lang w:val="en-US"/>
        </w:rPr>
        <w:t xml:space="preserve"> preoccupation</w:t>
      </w:r>
      <w:r w:rsidRPr="00314F90">
        <w:rPr>
          <w:rFonts w:ascii="Times New Roman" w:eastAsia="Times New Roman" w:hAnsi="Times New Roman" w:cs="Times New Roman"/>
          <w:sz w:val="24"/>
          <w:szCs w:val="24"/>
          <w:lang w:val="en-US"/>
        </w:rPr>
        <w:t>.</w:t>
      </w:r>
      <w:r w:rsidR="00314F90">
        <w:rPr>
          <w:rStyle w:val="FootnoteReference"/>
          <w:rFonts w:ascii="Times New Roman" w:eastAsia="Times New Roman" w:hAnsi="Times New Roman" w:cs="Times New Roman"/>
          <w:sz w:val="24"/>
          <w:szCs w:val="24"/>
          <w:lang w:val="en-US"/>
        </w:rPr>
        <w:footnoteReference w:id="6"/>
      </w:r>
      <w:r w:rsidRPr="00314F90">
        <w:rPr>
          <w:rFonts w:ascii="Times New Roman" w:eastAsia="Times New Roman" w:hAnsi="Times New Roman" w:cs="Times New Roman"/>
          <w:sz w:val="24"/>
          <w:szCs w:val="24"/>
          <w:lang w:val="en-US"/>
        </w:rPr>
        <w:t xml:space="preserve"> Yet his work is clearly more politically charged and normatively salient than the detached empiricism of </w:t>
      </w:r>
      <w:r w:rsidRPr="00314F90">
        <w:rPr>
          <w:rFonts w:ascii="Times New Roman" w:eastAsia="Times New Roman" w:hAnsi="Times New Roman" w:cs="Times New Roman"/>
          <w:i/>
          <w:iCs/>
          <w:sz w:val="24"/>
          <w:szCs w:val="24"/>
          <w:lang w:val="en-US"/>
        </w:rPr>
        <w:t>Mode B</w:t>
      </w:r>
      <w:r w:rsidRPr="00314F90">
        <w:rPr>
          <w:rFonts w:ascii="Times New Roman" w:eastAsia="Times New Roman" w:hAnsi="Times New Roman" w:cs="Times New Roman"/>
          <w:sz w:val="24"/>
          <w:szCs w:val="24"/>
          <w:lang w:val="en-US"/>
        </w:rPr>
        <w:t>, a tension that has famously frustrated normative philosophers.</w:t>
      </w:r>
      <w:r w:rsidR="00314F90">
        <w:rPr>
          <w:rStyle w:val="FootnoteReference"/>
          <w:rFonts w:ascii="Times New Roman" w:eastAsia="Times New Roman" w:hAnsi="Times New Roman" w:cs="Times New Roman"/>
          <w:sz w:val="24"/>
          <w:szCs w:val="24"/>
          <w:lang w:val="en-US"/>
        </w:rPr>
        <w:footnoteReference w:id="7"/>
      </w:r>
      <w:r w:rsidRPr="00314F90">
        <w:rPr>
          <w:rFonts w:ascii="Times New Roman" w:eastAsia="Times New Roman" w:hAnsi="Times New Roman" w:cs="Times New Roman"/>
          <w:sz w:val="24"/>
          <w:szCs w:val="24"/>
          <w:lang w:val="en-US"/>
        </w:rPr>
        <w:t xml:space="preserve"> </w:t>
      </w:r>
      <w:r w:rsidR="009A6385" w:rsidRPr="009A6385">
        <w:rPr>
          <w:rFonts w:ascii="Times New Roman" w:eastAsia="Times New Roman" w:hAnsi="Times New Roman" w:cs="Times New Roman"/>
          <w:sz w:val="24"/>
          <w:szCs w:val="24"/>
          <w:lang w:val="en-US"/>
        </w:rPr>
        <w:t xml:space="preserve">This frustration stems from a fundamental methodological clash: whereas Mode A theorists typically rely on ahistorical, deductive, or hypothetical models to justify </w:t>
      </w:r>
      <w:r w:rsidR="009A6385">
        <w:rPr>
          <w:rFonts w:ascii="Times New Roman" w:eastAsia="Times New Roman" w:hAnsi="Times New Roman" w:cs="Times New Roman"/>
          <w:sz w:val="24"/>
          <w:szCs w:val="24"/>
          <w:lang w:val="en-US"/>
        </w:rPr>
        <w:t xml:space="preserve">or critique </w:t>
      </w:r>
      <w:r w:rsidR="009A6385" w:rsidRPr="009A6385">
        <w:rPr>
          <w:rFonts w:ascii="Times New Roman" w:eastAsia="Times New Roman" w:hAnsi="Times New Roman" w:cs="Times New Roman"/>
          <w:sz w:val="24"/>
          <w:szCs w:val="24"/>
          <w:lang w:val="en-US"/>
        </w:rPr>
        <w:t>state power</w:t>
      </w:r>
      <w:r w:rsidR="00BD6F59">
        <w:rPr>
          <w:rFonts w:ascii="Times New Roman" w:eastAsia="Times New Roman" w:hAnsi="Times New Roman" w:cs="Times New Roman"/>
          <w:sz w:val="24"/>
          <w:szCs w:val="24"/>
          <w:lang w:val="en-US"/>
        </w:rPr>
        <w:t xml:space="preserve"> (</w:t>
      </w:r>
      <w:r w:rsidR="009A6385" w:rsidRPr="009A6385">
        <w:rPr>
          <w:rFonts w:ascii="Times New Roman" w:eastAsia="Times New Roman" w:hAnsi="Times New Roman" w:cs="Times New Roman"/>
          <w:sz w:val="24"/>
          <w:szCs w:val="24"/>
          <w:lang w:val="en-US"/>
        </w:rPr>
        <w:t xml:space="preserve">such as John Locke’s reliance on the social contract and tacit consent, or Thomas Hobbes’s </w:t>
      </w:r>
      <w:r w:rsidR="009A6385">
        <w:rPr>
          <w:rFonts w:ascii="Times New Roman" w:eastAsia="Times New Roman" w:hAnsi="Times New Roman" w:cs="Times New Roman"/>
          <w:sz w:val="24"/>
          <w:szCs w:val="24"/>
          <w:lang w:val="en-US"/>
        </w:rPr>
        <w:t xml:space="preserve">reliance on </w:t>
      </w:r>
      <w:r w:rsidR="009A6385" w:rsidRPr="009A6385">
        <w:rPr>
          <w:rFonts w:ascii="Times New Roman" w:eastAsia="Times New Roman" w:hAnsi="Times New Roman" w:cs="Times New Roman"/>
          <w:sz w:val="24"/>
          <w:szCs w:val="24"/>
          <w:lang w:val="en-US"/>
        </w:rPr>
        <w:t xml:space="preserve">the Leviathan as </w:t>
      </w:r>
      <w:r w:rsidR="009A6385">
        <w:rPr>
          <w:rFonts w:ascii="Times New Roman" w:eastAsia="Times New Roman" w:hAnsi="Times New Roman" w:cs="Times New Roman"/>
          <w:sz w:val="24"/>
          <w:szCs w:val="24"/>
          <w:lang w:val="en-US"/>
        </w:rPr>
        <w:t>the justifiable</w:t>
      </w:r>
      <w:r w:rsidR="009A6385" w:rsidRPr="009A6385">
        <w:rPr>
          <w:rFonts w:ascii="Times New Roman" w:eastAsia="Times New Roman" w:hAnsi="Times New Roman" w:cs="Times New Roman"/>
          <w:sz w:val="24"/>
          <w:szCs w:val="24"/>
          <w:lang w:val="en-US"/>
        </w:rPr>
        <w:t xml:space="preserve"> escape from </w:t>
      </w:r>
      <w:r w:rsidR="009A6385">
        <w:rPr>
          <w:rFonts w:ascii="Times New Roman" w:eastAsia="Times New Roman" w:hAnsi="Times New Roman" w:cs="Times New Roman"/>
          <w:sz w:val="24"/>
          <w:szCs w:val="24"/>
          <w:lang w:val="en-US"/>
        </w:rPr>
        <w:t>the horrors of the</w:t>
      </w:r>
      <w:r w:rsidR="009A6385" w:rsidRPr="009A6385">
        <w:rPr>
          <w:rFonts w:ascii="Times New Roman" w:eastAsia="Times New Roman" w:hAnsi="Times New Roman" w:cs="Times New Roman"/>
          <w:sz w:val="24"/>
          <w:szCs w:val="24"/>
          <w:lang w:val="en-US"/>
        </w:rPr>
        <w:t xml:space="preserve"> presumptive state of nature</w:t>
      </w:r>
      <w:r w:rsidR="00BD6F59">
        <w:rPr>
          <w:rFonts w:ascii="Times New Roman" w:eastAsia="Times New Roman" w:hAnsi="Times New Roman" w:cs="Times New Roman"/>
          <w:sz w:val="24"/>
          <w:szCs w:val="24"/>
          <w:lang w:val="en-US"/>
        </w:rPr>
        <w:t>),</w:t>
      </w:r>
      <w:r w:rsidR="009A6385">
        <w:rPr>
          <w:rFonts w:ascii="Times New Roman" w:eastAsia="Times New Roman" w:hAnsi="Times New Roman" w:cs="Times New Roman"/>
          <w:sz w:val="24"/>
          <w:szCs w:val="24"/>
          <w:lang w:val="en-US"/>
        </w:rPr>
        <w:t xml:space="preserve"> </w:t>
      </w:r>
      <w:r w:rsidR="009A6385" w:rsidRPr="009A6385">
        <w:rPr>
          <w:rFonts w:ascii="Times New Roman" w:eastAsia="Times New Roman" w:hAnsi="Times New Roman" w:cs="Times New Roman"/>
          <w:sz w:val="24"/>
          <w:szCs w:val="24"/>
          <w:lang w:val="en-US"/>
        </w:rPr>
        <w:t xml:space="preserve">Foucault rejects these </w:t>
      </w:r>
      <w:r w:rsidR="009A6385">
        <w:rPr>
          <w:rFonts w:ascii="Times New Roman" w:eastAsia="Times New Roman" w:hAnsi="Times New Roman" w:cs="Times New Roman"/>
          <w:sz w:val="24"/>
          <w:szCs w:val="24"/>
          <w:lang w:val="en-US"/>
        </w:rPr>
        <w:t>approaches</w:t>
      </w:r>
      <w:r w:rsidR="009A6385" w:rsidRPr="009A6385">
        <w:rPr>
          <w:rFonts w:ascii="Times New Roman" w:eastAsia="Times New Roman" w:hAnsi="Times New Roman" w:cs="Times New Roman"/>
          <w:sz w:val="24"/>
          <w:szCs w:val="24"/>
          <w:lang w:val="en-US"/>
        </w:rPr>
        <w:t>.</w:t>
      </w:r>
      <w:r w:rsidR="009A6385">
        <w:rPr>
          <w:rStyle w:val="FootnoteReference"/>
          <w:rFonts w:ascii="Times New Roman" w:eastAsia="Times New Roman" w:hAnsi="Times New Roman" w:cs="Times New Roman"/>
          <w:sz w:val="24"/>
          <w:szCs w:val="24"/>
          <w:lang w:val="en-US"/>
        </w:rPr>
        <w:footnoteReference w:id="8"/>
      </w:r>
      <w:r w:rsidR="009A6385" w:rsidRPr="009A6385">
        <w:rPr>
          <w:rFonts w:ascii="Times New Roman" w:eastAsia="Times New Roman" w:hAnsi="Times New Roman" w:cs="Times New Roman"/>
          <w:sz w:val="24"/>
          <w:szCs w:val="24"/>
          <w:lang w:val="en-US"/>
        </w:rPr>
        <w:t xml:space="preserve"> Instead, his genealogy investigates the </w:t>
      </w:r>
      <w:r w:rsidR="009A6385">
        <w:rPr>
          <w:rFonts w:ascii="Times New Roman" w:eastAsia="Times New Roman" w:hAnsi="Times New Roman" w:cs="Times New Roman"/>
          <w:sz w:val="24"/>
          <w:szCs w:val="24"/>
          <w:lang w:val="en-US"/>
        </w:rPr>
        <w:t>historical,</w:t>
      </w:r>
      <w:r w:rsidR="009A6385" w:rsidRPr="009A6385">
        <w:rPr>
          <w:rFonts w:ascii="Times New Roman" w:eastAsia="Times New Roman" w:hAnsi="Times New Roman" w:cs="Times New Roman"/>
          <w:sz w:val="24"/>
          <w:szCs w:val="24"/>
          <w:lang w:val="en-US"/>
        </w:rPr>
        <w:t xml:space="preserve"> contingent practices through which power is exercised and </w:t>
      </w:r>
      <w:proofErr w:type="spellStart"/>
      <w:r w:rsidR="009A6385">
        <w:rPr>
          <w:rFonts w:ascii="Times New Roman" w:eastAsia="Times New Roman" w:hAnsi="Times New Roman" w:cs="Times New Roman"/>
          <w:sz w:val="24"/>
          <w:szCs w:val="24"/>
          <w:lang w:val="en-US"/>
        </w:rPr>
        <w:t>legitimised</w:t>
      </w:r>
      <w:proofErr w:type="spellEnd"/>
      <w:r w:rsidR="009A6385">
        <w:rPr>
          <w:rFonts w:ascii="Times New Roman" w:eastAsia="Times New Roman" w:hAnsi="Times New Roman" w:cs="Times New Roman"/>
          <w:sz w:val="24"/>
          <w:szCs w:val="24"/>
          <w:lang w:val="en-US"/>
        </w:rPr>
        <w:t>.</w:t>
      </w:r>
    </w:p>
    <w:p w14:paraId="00000018" w14:textId="248EA97C" w:rsidR="00CC5992" w:rsidRPr="00314F90" w:rsidRDefault="00000000">
      <w:pPr>
        <w:spacing w:before="240" w:after="240" w:line="360" w:lineRule="auto"/>
        <w:rPr>
          <w:rFonts w:ascii="Times New Roman" w:eastAsia="Times New Roman" w:hAnsi="Times New Roman" w:cs="Times New Roman"/>
          <w:sz w:val="24"/>
          <w:szCs w:val="24"/>
          <w:lang w:val="en-US"/>
        </w:rPr>
      </w:pPr>
      <w:r w:rsidRPr="00314F90">
        <w:rPr>
          <w:rFonts w:ascii="Times New Roman" w:eastAsia="Times New Roman" w:hAnsi="Times New Roman" w:cs="Times New Roman"/>
          <w:sz w:val="24"/>
          <w:szCs w:val="24"/>
          <w:lang w:val="en-US"/>
        </w:rPr>
        <w:t xml:space="preserve">This chapter shows that Foucault operates in a distinctive </w:t>
      </w:r>
      <w:r w:rsidRPr="00314F90">
        <w:rPr>
          <w:rFonts w:ascii="Times New Roman" w:eastAsia="Times New Roman" w:hAnsi="Times New Roman" w:cs="Times New Roman"/>
          <w:i/>
          <w:iCs/>
          <w:sz w:val="24"/>
          <w:szCs w:val="24"/>
          <w:lang w:val="en-US"/>
        </w:rPr>
        <w:t>Mode C</w:t>
      </w:r>
      <w:r w:rsidRPr="00314F90">
        <w:rPr>
          <w:rFonts w:ascii="Times New Roman" w:eastAsia="Times New Roman" w:hAnsi="Times New Roman" w:cs="Times New Roman"/>
          <w:sz w:val="24"/>
          <w:szCs w:val="24"/>
          <w:lang w:val="en-US"/>
        </w:rPr>
        <w:t xml:space="preserve">, a form of </w:t>
      </w:r>
      <w:r w:rsidRPr="00314F90">
        <w:rPr>
          <w:rFonts w:ascii="Times New Roman" w:eastAsia="Times New Roman" w:hAnsi="Times New Roman" w:cs="Times New Roman"/>
          <w:i/>
          <w:iCs/>
          <w:sz w:val="24"/>
          <w:szCs w:val="24"/>
          <w:lang w:val="en-US"/>
        </w:rPr>
        <w:t>implicit normative critique</w:t>
      </w:r>
      <w:r w:rsidRPr="00314F90">
        <w:rPr>
          <w:rFonts w:ascii="Times New Roman" w:eastAsia="Times New Roman" w:hAnsi="Times New Roman" w:cs="Times New Roman"/>
          <w:sz w:val="24"/>
          <w:szCs w:val="24"/>
          <w:lang w:val="en-US"/>
        </w:rPr>
        <w:t xml:space="preserve"> that functions precisely by</w:t>
      </w:r>
      <w:r w:rsidR="0057071B">
        <w:rPr>
          <w:rFonts w:ascii="Times New Roman" w:eastAsia="Times New Roman" w:hAnsi="Times New Roman" w:cs="Times New Roman"/>
          <w:sz w:val="24"/>
          <w:szCs w:val="24"/>
          <w:lang w:val="en-US"/>
        </w:rPr>
        <w:t xml:space="preserve"> </w:t>
      </w:r>
      <w:r w:rsidRPr="00314F90">
        <w:rPr>
          <w:rFonts w:ascii="Times New Roman" w:eastAsia="Times New Roman" w:hAnsi="Times New Roman" w:cs="Times New Roman"/>
          <w:sz w:val="24"/>
          <w:szCs w:val="24"/>
          <w:lang w:val="en-US"/>
        </w:rPr>
        <w:t xml:space="preserve">staying </w:t>
      </w:r>
      <w:r w:rsidR="0057071B">
        <w:rPr>
          <w:rFonts w:ascii="Times New Roman" w:eastAsia="Times New Roman" w:hAnsi="Times New Roman" w:cs="Times New Roman"/>
          <w:sz w:val="24"/>
          <w:szCs w:val="24"/>
          <w:lang w:val="en-US"/>
        </w:rPr>
        <w:t xml:space="preserve">primarily </w:t>
      </w:r>
      <w:r w:rsidRPr="00314F90">
        <w:rPr>
          <w:rFonts w:ascii="Times New Roman" w:eastAsia="Times New Roman" w:hAnsi="Times New Roman" w:cs="Times New Roman"/>
          <w:sz w:val="24"/>
          <w:szCs w:val="24"/>
          <w:lang w:val="en-US"/>
        </w:rPr>
        <w:t>within the register of description</w:t>
      </w:r>
      <w:r w:rsidR="00314F90">
        <w:rPr>
          <w:rStyle w:val="FootnoteReference"/>
          <w:rFonts w:ascii="Times New Roman" w:eastAsia="Times New Roman" w:hAnsi="Times New Roman" w:cs="Times New Roman"/>
          <w:sz w:val="24"/>
          <w:szCs w:val="24"/>
          <w:lang w:val="en-US"/>
        </w:rPr>
        <w:footnoteReference w:id="9"/>
      </w:r>
      <w:r w:rsidR="00314F90">
        <w:rPr>
          <w:rFonts w:ascii="Times New Roman" w:eastAsia="Times New Roman" w:hAnsi="Times New Roman" w:cs="Times New Roman"/>
          <w:sz w:val="24"/>
          <w:szCs w:val="24"/>
          <w:lang w:val="en-US"/>
        </w:rPr>
        <w:t>:</w:t>
      </w:r>
    </w:p>
    <w:p w14:paraId="00000019" w14:textId="77777777" w:rsidR="00CC5992" w:rsidRPr="00314F90" w:rsidRDefault="00000000">
      <w:pPr>
        <w:numPr>
          <w:ilvl w:val="0"/>
          <w:numId w:val="1"/>
        </w:numPr>
        <w:spacing w:before="240" w:after="240" w:line="360" w:lineRule="auto"/>
        <w:rPr>
          <w:rFonts w:ascii="Times New Roman" w:eastAsia="Times New Roman" w:hAnsi="Times New Roman" w:cs="Times New Roman"/>
          <w:sz w:val="24"/>
          <w:szCs w:val="24"/>
          <w:lang w:val="en-US"/>
        </w:rPr>
      </w:pPr>
      <w:r w:rsidRPr="00314F90">
        <w:rPr>
          <w:rFonts w:ascii="Times New Roman" w:eastAsia="Times New Roman" w:hAnsi="Times New Roman" w:cs="Times New Roman"/>
          <w:i/>
          <w:iCs/>
          <w:sz w:val="24"/>
          <w:szCs w:val="24"/>
          <w:lang w:val="en-US"/>
        </w:rPr>
        <w:t>Mode C (Implicit Normative Justification):</w:t>
      </w:r>
      <w:r w:rsidRPr="00314F90">
        <w:rPr>
          <w:rFonts w:ascii="Times New Roman" w:eastAsia="Times New Roman" w:hAnsi="Times New Roman" w:cs="Times New Roman"/>
          <w:sz w:val="24"/>
          <w:szCs w:val="24"/>
          <w:lang w:val="en-US"/>
        </w:rPr>
        <w:t xml:space="preserve"> This is the domain of </w:t>
      </w:r>
      <w:r w:rsidRPr="00314F90">
        <w:rPr>
          <w:rFonts w:ascii="Times New Roman" w:eastAsia="Times New Roman" w:hAnsi="Times New Roman" w:cs="Times New Roman"/>
          <w:i/>
          <w:iCs/>
          <w:sz w:val="24"/>
          <w:szCs w:val="24"/>
          <w:lang w:val="en-US"/>
        </w:rPr>
        <w:t>critical genealogy</w:t>
      </w:r>
      <w:r w:rsidRPr="00314F90">
        <w:rPr>
          <w:rFonts w:ascii="Times New Roman" w:eastAsia="Times New Roman" w:hAnsi="Times New Roman" w:cs="Times New Roman"/>
          <w:sz w:val="24"/>
          <w:szCs w:val="24"/>
          <w:lang w:val="en-US"/>
        </w:rPr>
        <w:t xml:space="preserve">. Its goal is neither to </w:t>
      </w:r>
      <w:proofErr w:type="spellStart"/>
      <w:r w:rsidRPr="00314F90">
        <w:rPr>
          <w:rFonts w:ascii="Times New Roman" w:eastAsia="Times New Roman" w:hAnsi="Times New Roman" w:cs="Times New Roman"/>
          <w:sz w:val="24"/>
          <w:szCs w:val="24"/>
          <w:lang w:val="en-US"/>
        </w:rPr>
        <w:t>legitimise</w:t>
      </w:r>
      <w:proofErr w:type="spellEnd"/>
      <w:r w:rsidRPr="00314F90">
        <w:rPr>
          <w:rFonts w:ascii="Times New Roman" w:eastAsia="Times New Roman" w:hAnsi="Times New Roman" w:cs="Times New Roman"/>
          <w:sz w:val="24"/>
          <w:szCs w:val="24"/>
          <w:lang w:val="en-US"/>
        </w:rPr>
        <w:t xml:space="preserve"> (or </w:t>
      </w:r>
      <w:proofErr w:type="spellStart"/>
      <w:r w:rsidRPr="00314F90">
        <w:rPr>
          <w:rFonts w:ascii="Times New Roman" w:eastAsia="Times New Roman" w:hAnsi="Times New Roman" w:cs="Times New Roman"/>
          <w:sz w:val="24"/>
          <w:szCs w:val="24"/>
          <w:lang w:val="en-US"/>
        </w:rPr>
        <w:t>delegitimise</w:t>
      </w:r>
      <w:proofErr w:type="spellEnd"/>
      <w:r w:rsidRPr="00314F90">
        <w:rPr>
          <w:rFonts w:ascii="Times New Roman" w:eastAsia="Times New Roman" w:hAnsi="Times New Roman" w:cs="Times New Roman"/>
          <w:sz w:val="24"/>
          <w:szCs w:val="24"/>
          <w:lang w:val="en-US"/>
        </w:rPr>
        <w:t xml:space="preserve">) the state (Mode A), nor merely describe it (Mode B), but to </w:t>
      </w:r>
      <w:proofErr w:type="spellStart"/>
      <w:r w:rsidRPr="00314F90">
        <w:rPr>
          <w:rFonts w:ascii="Times New Roman" w:eastAsia="Times New Roman" w:hAnsi="Times New Roman" w:cs="Times New Roman"/>
          <w:i/>
          <w:iCs/>
          <w:sz w:val="24"/>
          <w:szCs w:val="24"/>
          <w:lang w:val="en-US"/>
        </w:rPr>
        <w:t>problematise</w:t>
      </w:r>
      <w:proofErr w:type="spellEnd"/>
      <w:r w:rsidRPr="00314F90">
        <w:rPr>
          <w:rFonts w:ascii="Times New Roman" w:eastAsia="Times New Roman" w:hAnsi="Times New Roman" w:cs="Times New Roman"/>
          <w:sz w:val="24"/>
          <w:szCs w:val="24"/>
          <w:lang w:val="en-US"/>
        </w:rPr>
        <w:t xml:space="preserve"> its self-evidence. By revealing that what appears necessary and universal is </w:t>
      </w:r>
      <w:proofErr w:type="gramStart"/>
      <w:r w:rsidRPr="00314F90">
        <w:rPr>
          <w:rFonts w:ascii="Times New Roman" w:eastAsia="Times New Roman" w:hAnsi="Times New Roman" w:cs="Times New Roman"/>
          <w:sz w:val="24"/>
          <w:szCs w:val="24"/>
          <w:lang w:val="en-US"/>
        </w:rPr>
        <w:t>actually the</w:t>
      </w:r>
      <w:proofErr w:type="gramEnd"/>
      <w:r w:rsidRPr="00314F90">
        <w:rPr>
          <w:rFonts w:ascii="Times New Roman" w:eastAsia="Times New Roman" w:hAnsi="Times New Roman" w:cs="Times New Roman"/>
          <w:sz w:val="24"/>
          <w:szCs w:val="24"/>
          <w:lang w:val="en-US"/>
        </w:rPr>
        <w:t xml:space="preserve"> product of contingent historical struggles, this mode exposes fixities of power and opens up the </w:t>
      </w:r>
      <w:r w:rsidRPr="00314F90">
        <w:rPr>
          <w:rFonts w:ascii="Times New Roman" w:eastAsia="Times New Roman" w:hAnsi="Times New Roman" w:cs="Times New Roman"/>
          <w:i/>
          <w:iCs/>
          <w:sz w:val="24"/>
          <w:szCs w:val="24"/>
          <w:lang w:val="en-US"/>
        </w:rPr>
        <w:t>possibility</w:t>
      </w:r>
      <w:r w:rsidRPr="00314F90">
        <w:rPr>
          <w:rFonts w:ascii="Times New Roman" w:eastAsia="Times New Roman" w:hAnsi="Times New Roman" w:cs="Times New Roman"/>
          <w:sz w:val="24"/>
          <w:szCs w:val="24"/>
          <w:lang w:val="en-US"/>
        </w:rPr>
        <w:t xml:space="preserve"> of thinking and acting otherwise.</w:t>
      </w:r>
    </w:p>
    <w:p w14:paraId="0000001A" w14:textId="4BCA1E41" w:rsidR="00CC5992" w:rsidRPr="00314F90" w:rsidRDefault="00000000">
      <w:pPr>
        <w:spacing w:before="240" w:after="240" w:line="360" w:lineRule="auto"/>
        <w:rPr>
          <w:rFonts w:ascii="Times New Roman" w:eastAsia="Times New Roman" w:hAnsi="Times New Roman" w:cs="Times New Roman"/>
          <w:sz w:val="24"/>
          <w:szCs w:val="24"/>
          <w:lang w:val="en-US"/>
        </w:rPr>
      </w:pPr>
      <w:r w:rsidRPr="00314F90">
        <w:rPr>
          <w:rFonts w:ascii="Times New Roman" w:eastAsia="Times New Roman" w:hAnsi="Times New Roman" w:cs="Times New Roman"/>
          <w:sz w:val="24"/>
          <w:szCs w:val="24"/>
          <w:lang w:val="en-US"/>
        </w:rPr>
        <w:t xml:space="preserve">For Foucault, questioning the state forces us to go deeper than asking “is the state just/good/legitimate?” (Mode A). It requires us to question the very reality of the state as a unified subject, revealing it instead as a fragile “effect” of diverse techniques and games of </w:t>
      </w:r>
      <w:r w:rsidRPr="00314F90">
        <w:rPr>
          <w:rFonts w:ascii="Times New Roman" w:eastAsia="Times New Roman" w:hAnsi="Times New Roman" w:cs="Times New Roman"/>
          <w:sz w:val="24"/>
          <w:szCs w:val="24"/>
          <w:lang w:val="en-US"/>
        </w:rPr>
        <w:lastRenderedPageBreak/>
        <w:t xml:space="preserve">power. Foucault’s extensive genealogical descriptions are not neutral: he uses the “show, </w:t>
      </w:r>
      <w:r w:rsidR="00921EDD" w:rsidRPr="00921EDD">
        <w:rPr>
          <w:rFonts w:ascii="Times New Roman" w:eastAsia="Times New Roman" w:hAnsi="Times New Roman" w:cs="Times New Roman"/>
          <w:sz w:val="24"/>
          <w:szCs w:val="24"/>
          <w:lang w:val="en-US"/>
        </w:rPr>
        <w:t>don’t</w:t>
      </w:r>
      <w:r w:rsidRPr="00314F90">
        <w:rPr>
          <w:rFonts w:ascii="Times New Roman" w:eastAsia="Times New Roman" w:hAnsi="Times New Roman" w:cs="Times New Roman"/>
          <w:sz w:val="24"/>
          <w:szCs w:val="24"/>
          <w:lang w:val="en-US"/>
        </w:rPr>
        <w:t xml:space="preserve"> tell” persuasive power of historical investigation to reveal fissures and slippages in the “natural” order of things.</w:t>
      </w:r>
      <w:r w:rsidR="00314F90">
        <w:rPr>
          <w:rStyle w:val="FootnoteReference"/>
          <w:rFonts w:ascii="Times New Roman" w:eastAsia="Times New Roman" w:hAnsi="Times New Roman" w:cs="Times New Roman"/>
          <w:sz w:val="24"/>
          <w:szCs w:val="24"/>
          <w:lang w:val="en-US"/>
        </w:rPr>
        <w:footnoteReference w:id="10"/>
      </w:r>
      <w:r w:rsidRPr="00314F90">
        <w:rPr>
          <w:rFonts w:ascii="Times New Roman" w:eastAsia="Times New Roman" w:hAnsi="Times New Roman" w:cs="Times New Roman"/>
          <w:sz w:val="24"/>
          <w:szCs w:val="24"/>
          <w:lang w:val="en-US"/>
        </w:rPr>
        <w:t xml:space="preserve"> So, although he refuses the language of legitimacy (Mode A), his</w:t>
      </w:r>
      <w:r w:rsidRPr="00314F90">
        <w:rPr>
          <w:rFonts w:ascii="Times New Roman" w:eastAsia="Times New Roman" w:hAnsi="Times New Roman" w:cs="Times New Roman"/>
          <w:i/>
          <w:iCs/>
          <w:sz w:val="24"/>
          <w:szCs w:val="24"/>
          <w:lang w:val="en-US"/>
        </w:rPr>
        <w:t xml:space="preserve"> implicit critical genealogy </w:t>
      </w:r>
      <w:r w:rsidRPr="00314F90">
        <w:rPr>
          <w:rFonts w:ascii="Times New Roman" w:eastAsia="Times New Roman" w:hAnsi="Times New Roman" w:cs="Times New Roman"/>
          <w:sz w:val="24"/>
          <w:szCs w:val="24"/>
          <w:lang w:val="en-US"/>
        </w:rPr>
        <w:t xml:space="preserve">(Mode C) allows us to see how the state has historically generated, </w:t>
      </w:r>
      <w:proofErr w:type="spellStart"/>
      <w:r w:rsidRPr="00314F90">
        <w:rPr>
          <w:rFonts w:ascii="Times New Roman" w:eastAsia="Times New Roman" w:hAnsi="Times New Roman" w:cs="Times New Roman"/>
          <w:sz w:val="24"/>
          <w:szCs w:val="24"/>
          <w:lang w:val="en-US"/>
        </w:rPr>
        <w:t>utilised</w:t>
      </w:r>
      <w:proofErr w:type="spellEnd"/>
      <w:r w:rsidRPr="00314F90">
        <w:rPr>
          <w:rFonts w:ascii="Times New Roman" w:eastAsia="Times New Roman" w:hAnsi="Times New Roman" w:cs="Times New Roman"/>
          <w:sz w:val="24"/>
          <w:szCs w:val="24"/>
          <w:lang w:val="en-US"/>
        </w:rPr>
        <w:t>, and been itself shaped by diverse discourses of legitimation. Becoming aware of this alters our “space of reasons</w:t>
      </w:r>
      <w:r w:rsidR="00314F90">
        <w:rPr>
          <w:rFonts w:ascii="Times New Roman" w:eastAsia="Times New Roman" w:hAnsi="Times New Roman" w:cs="Times New Roman"/>
          <w:sz w:val="24"/>
          <w:szCs w:val="24"/>
          <w:lang w:val="en-US"/>
        </w:rPr>
        <w:t>,”</w:t>
      </w:r>
      <w:r w:rsidR="00314F90">
        <w:rPr>
          <w:rStyle w:val="FootnoteReference"/>
          <w:rFonts w:ascii="Times New Roman" w:eastAsia="Times New Roman" w:hAnsi="Times New Roman" w:cs="Times New Roman"/>
          <w:sz w:val="24"/>
          <w:szCs w:val="24"/>
          <w:lang w:val="en-US"/>
        </w:rPr>
        <w:footnoteReference w:id="11"/>
      </w:r>
      <w:r w:rsidR="00314F90">
        <w:rPr>
          <w:rFonts w:ascii="Times New Roman" w:eastAsia="Times New Roman" w:hAnsi="Times New Roman" w:cs="Times New Roman"/>
          <w:sz w:val="24"/>
          <w:szCs w:val="24"/>
          <w:lang w:val="en-US"/>
        </w:rPr>
        <w:t xml:space="preserve"> </w:t>
      </w:r>
      <w:r w:rsidRPr="00314F90">
        <w:rPr>
          <w:rFonts w:ascii="Times New Roman" w:eastAsia="Times New Roman" w:hAnsi="Times New Roman" w:cs="Times New Roman"/>
          <w:sz w:val="24"/>
          <w:szCs w:val="24"/>
          <w:lang w:val="en-US"/>
        </w:rPr>
        <w:t xml:space="preserve">making the established justifications of state and non-state power appear fragile, reversible, and therefore open to contestation. By painstakingly tracing the contingent origins of our most cherished institutions, Foucault thus </w:t>
      </w:r>
      <w:proofErr w:type="spellStart"/>
      <w:r w:rsidRPr="00314F90">
        <w:rPr>
          <w:rFonts w:ascii="Times New Roman" w:eastAsia="Times New Roman" w:hAnsi="Times New Roman" w:cs="Times New Roman"/>
          <w:sz w:val="24"/>
          <w:szCs w:val="24"/>
          <w:lang w:val="en-US"/>
        </w:rPr>
        <w:t>denaturalises</w:t>
      </w:r>
      <w:proofErr w:type="spellEnd"/>
      <w:r w:rsidRPr="00314F90">
        <w:rPr>
          <w:rFonts w:ascii="Times New Roman" w:eastAsia="Times New Roman" w:hAnsi="Times New Roman" w:cs="Times New Roman"/>
          <w:sz w:val="24"/>
          <w:szCs w:val="24"/>
          <w:lang w:val="en-US"/>
        </w:rPr>
        <w:t xml:space="preserve"> the present order. </w:t>
      </w:r>
    </w:p>
    <w:p w14:paraId="0000001B" w14:textId="77777777" w:rsidR="00CC5992" w:rsidRDefault="00000000">
      <w:pPr>
        <w:spacing w:before="240" w:after="240" w:line="360" w:lineRule="auto"/>
        <w:rPr>
          <w:rFonts w:ascii="Times New Roman" w:eastAsia="Times New Roman" w:hAnsi="Times New Roman" w:cs="Times New Roman"/>
          <w:sz w:val="24"/>
          <w:szCs w:val="24"/>
        </w:rPr>
      </w:pPr>
      <w:r w:rsidRPr="00314F90">
        <w:rPr>
          <w:rFonts w:ascii="Times New Roman" w:eastAsia="Times New Roman" w:hAnsi="Times New Roman" w:cs="Times New Roman"/>
          <w:sz w:val="24"/>
          <w:szCs w:val="24"/>
          <w:lang w:val="en-US"/>
        </w:rPr>
        <w:t xml:space="preserve">So, Foucault’s most provocative claims about the state are not an anti-statist manifesto but a diagnostic method: a way to show how “the state” is continuously produced, </w:t>
      </w:r>
      <w:proofErr w:type="spellStart"/>
      <w:r w:rsidRPr="00314F90">
        <w:rPr>
          <w:rFonts w:ascii="Times New Roman" w:eastAsia="Times New Roman" w:hAnsi="Times New Roman" w:cs="Times New Roman"/>
          <w:sz w:val="24"/>
          <w:szCs w:val="24"/>
          <w:lang w:val="en-US"/>
        </w:rPr>
        <w:t>stabilised</w:t>
      </w:r>
      <w:proofErr w:type="spellEnd"/>
      <w:r w:rsidRPr="00314F90">
        <w:rPr>
          <w:rFonts w:ascii="Times New Roman" w:eastAsia="Times New Roman" w:hAnsi="Times New Roman" w:cs="Times New Roman"/>
          <w:sz w:val="24"/>
          <w:szCs w:val="24"/>
          <w:lang w:val="en-US"/>
        </w:rPr>
        <w:t xml:space="preserve">, and justified through historically shifting practices of government. To illustrate this </w:t>
      </w:r>
      <w:r w:rsidRPr="00314F90">
        <w:rPr>
          <w:rFonts w:ascii="Times New Roman" w:eastAsia="Times New Roman" w:hAnsi="Times New Roman" w:cs="Times New Roman"/>
          <w:i/>
          <w:iCs/>
          <w:sz w:val="24"/>
          <w:szCs w:val="24"/>
          <w:lang w:val="en-US"/>
        </w:rPr>
        <w:t>Mode C</w:t>
      </w:r>
      <w:r w:rsidRPr="00314F90">
        <w:rPr>
          <w:rFonts w:ascii="Times New Roman" w:eastAsia="Times New Roman" w:hAnsi="Times New Roman" w:cs="Times New Roman"/>
          <w:sz w:val="24"/>
          <w:szCs w:val="24"/>
          <w:lang w:val="en-US"/>
        </w:rPr>
        <w:t xml:space="preserve"> analysis, the chapter proceeds in three parts. </w:t>
      </w:r>
      <w:r w:rsidRPr="00314F90">
        <w:rPr>
          <w:rFonts w:ascii="Times New Roman" w:eastAsia="Times New Roman" w:hAnsi="Times New Roman" w:cs="Times New Roman"/>
          <w:b/>
          <w:bCs/>
          <w:sz w:val="24"/>
          <w:szCs w:val="24"/>
          <w:lang w:val="en-US"/>
        </w:rPr>
        <w:t>Section 2</w:t>
      </w:r>
      <w:r w:rsidRPr="00314F90">
        <w:rPr>
          <w:rFonts w:ascii="Times New Roman" w:eastAsia="Times New Roman" w:hAnsi="Times New Roman" w:cs="Times New Roman"/>
          <w:sz w:val="24"/>
          <w:szCs w:val="24"/>
          <w:lang w:val="en-US"/>
        </w:rPr>
        <w:t xml:space="preserve"> offers a brief analysis of Foucault’s explicit discussion of Sovereign power. </w:t>
      </w:r>
      <w:r w:rsidRPr="00314F90">
        <w:rPr>
          <w:rFonts w:ascii="Times New Roman" w:eastAsia="Times New Roman" w:hAnsi="Times New Roman" w:cs="Times New Roman"/>
          <w:b/>
          <w:bCs/>
          <w:sz w:val="24"/>
          <w:szCs w:val="24"/>
          <w:lang w:val="en-US"/>
        </w:rPr>
        <w:t>Section 3</w:t>
      </w:r>
      <w:r w:rsidRPr="00314F90">
        <w:rPr>
          <w:rFonts w:ascii="Times New Roman" w:eastAsia="Times New Roman" w:hAnsi="Times New Roman" w:cs="Times New Roman"/>
          <w:sz w:val="24"/>
          <w:szCs w:val="24"/>
          <w:lang w:val="en-US"/>
        </w:rPr>
        <w:t xml:space="preserve"> examines Foucault’s displacement of the state through his analysis of disciplinary power, residing in the “capillary power” of the workshop and asylum rather than the central command of the sovereign. </w:t>
      </w:r>
      <w:r w:rsidRPr="00314F90">
        <w:rPr>
          <w:rFonts w:ascii="Times New Roman" w:eastAsia="Times New Roman" w:hAnsi="Times New Roman" w:cs="Times New Roman"/>
          <w:b/>
          <w:bCs/>
          <w:sz w:val="24"/>
          <w:szCs w:val="24"/>
          <w:lang w:val="en-US"/>
        </w:rPr>
        <w:t>Section 4</w:t>
      </w:r>
      <w:r w:rsidRPr="00314F90">
        <w:rPr>
          <w:rFonts w:ascii="Times New Roman" w:eastAsia="Times New Roman" w:hAnsi="Times New Roman" w:cs="Times New Roman"/>
          <w:sz w:val="24"/>
          <w:szCs w:val="24"/>
          <w:lang w:val="en-US"/>
        </w:rPr>
        <w:t xml:space="preserve"> examines the “return of the state” through the lens of biopolitics, focusing on Foucault’s 1977–1979 lectures (</w:t>
      </w:r>
      <w:r w:rsidRPr="00314F90">
        <w:rPr>
          <w:rFonts w:ascii="Times New Roman" w:eastAsia="Times New Roman" w:hAnsi="Times New Roman" w:cs="Times New Roman"/>
          <w:i/>
          <w:iCs/>
          <w:sz w:val="24"/>
          <w:szCs w:val="24"/>
          <w:lang w:val="en-US"/>
        </w:rPr>
        <w:t>Security, Territory, Population</w:t>
      </w:r>
      <w:r w:rsidRPr="00314F90">
        <w:rPr>
          <w:rFonts w:ascii="Times New Roman" w:eastAsia="Times New Roman" w:hAnsi="Times New Roman" w:cs="Times New Roman"/>
          <w:sz w:val="24"/>
          <w:szCs w:val="24"/>
          <w:lang w:val="en-US"/>
        </w:rPr>
        <w:t xml:space="preserve"> and </w:t>
      </w:r>
      <w:r w:rsidRPr="00314F90">
        <w:rPr>
          <w:rFonts w:ascii="Times New Roman" w:eastAsia="Times New Roman" w:hAnsi="Times New Roman" w:cs="Times New Roman"/>
          <w:i/>
          <w:iCs/>
          <w:sz w:val="24"/>
          <w:szCs w:val="24"/>
          <w:lang w:val="en-US"/>
        </w:rPr>
        <w:t>The Birth of Biopolitics</w:t>
      </w:r>
      <w:r w:rsidRPr="00314F90">
        <w:rPr>
          <w:rFonts w:ascii="Times New Roman" w:eastAsia="Times New Roman" w:hAnsi="Times New Roman" w:cs="Times New Roman"/>
          <w:sz w:val="24"/>
          <w:szCs w:val="24"/>
          <w:lang w:val="en-US"/>
        </w:rPr>
        <w:t xml:space="preserve">). </w:t>
      </w:r>
      <w:r w:rsidRPr="00314F90">
        <w:rPr>
          <w:rFonts w:ascii="Times New Roman" w:eastAsia="Times New Roman" w:hAnsi="Times New Roman" w:cs="Times New Roman"/>
          <w:b/>
          <w:bCs/>
          <w:sz w:val="24"/>
          <w:szCs w:val="24"/>
          <w:lang w:val="en-US"/>
        </w:rPr>
        <w:t>Section 5</w:t>
      </w:r>
      <w:r w:rsidRPr="00314F90">
        <w:rPr>
          <w:rFonts w:ascii="Times New Roman" w:eastAsia="Times New Roman" w:hAnsi="Times New Roman" w:cs="Times New Roman"/>
          <w:sz w:val="24"/>
          <w:szCs w:val="24"/>
          <w:lang w:val="en-US"/>
        </w:rPr>
        <w:t xml:space="preserve"> turns to the normative takeaways of Foucauldian analysis. If power is productive and omnipresent, where is the space for freedom and resistance? </w:t>
      </w:r>
      <w:r>
        <w:rPr>
          <w:rFonts w:ascii="Times New Roman" w:eastAsia="Times New Roman" w:hAnsi="Times New Roman" w:cs="Times New Roman"/>
          <w:b/>
          <w:bCs/>
          <w:sz w:val="24"/>
          <w:szCs w:val="24"/>
        </w:rPr>
        <w:t xml:space="preserve">Section 6 </w:t>
      </w:r>
      <w:r>
        <w:rPr>
          <w:rFonts w:ascii="Times New Roman" w:eastAsia="Times New Roman" w:hAnsi="Times New Roman" w:cs="Times New Roman"/>
          <w:sz w:val="24"/>
          <w:szCs w:val="24"/>
        </w:rPr>
        <w:t xml:space="preserve">concludes. </w:t>
      </w:r>
    </w:p>
    <w:p w14:paraId="0000001C" w14:textId="77777777" w:rsidR="00CC5992" w:rsidRDefault="00CC5992">
      <w:pPr>
        <w:spacing w:before="240" w:after="240" w:line="360" w:lineRule="auto"/>
        <w:rPr>
          <w:rFonts w:ascii="Times New Roman" w:eastAsia="Times New Roman" w:hAnsi="Times New Roman" w:cs="Times New Roman"/>
          <w:sz w:val="24"/>
          <w:szCs w:val="24"/>
        </w:rPr>
      </w:pPr>
    </w:p>
    <w:p w14:paraId="0000001D" w14:textId="77777777" w:rsidR="00CC5992" w:rsidRDefault="00000000">
      <w:pPr>
        <w:pStyle w:val="Heading2"/>
        <w:keepNext w:val="0"/>
        <w:keepLines w:val="0"/>
        <w:numPr>
          <w:ilvl w:val="0"/>
          <w:numId w:val="2"/>
        </w:numPr>
        <w:spacing w:before="280" w:line="360" w:lineRule="auto"/>
      </w:pPr>
      <w:bookmarkStart w:id="2" w:name="_r8h76yfwy4tm" w:colFirst="0" w:colLast="0"/>
      <w:bookmarkEnd w:id="2"/>
      <w:r>
        <w:t>Sovereignty and State Justification</w:t>
      </w:r>
    </w:p>
    <w:p w14:paraId="0000001E" w14:textId="3D0BE4C4" w:rsidR="00CC5992" w:rsidRPr="00314F90" w:rsidRDefault="00000000">
      <w:pPr>
        <w:spacing w:before="240" w:after="240" w:line="360" w:lineRule="auto"/>
        <w:rPr>
          <w:rFonts w:ascii="Times New Roman" w:eastAsia="Times New Roman" w:hAnsi="Times New Roman" w:cs="Times New Roman"/>
          <w:sz w:val="24"/>
          <w:szCs w:val="24"/>
          <w:lang w:val="en-US"/>
        </w:rPr>
      </w:pPr>
      <w:r w:rsidRPr="00314F90">
        <w:rPr>
          <w:rFonts w:ascii="Times New Roman" w:eastAsia="Times New Roman" w:hAnsi="Times New Roman" w:cs="Times New Roman"/>
          <w:sz w:val="24"/>
          <w:szCs w:val="24"/>
          <w:lang w:val="en-US"/>
        </w:rPr>
        <w:t>Before we can understand why Foucault sometimes insists that the state does not exist</w:t>
      </w:r>
      <w:r w:rsidR="0045202B">
        <w:rPr>
          <w:rFonts w:ascii="Times New Roman" w:eastAsia="Times New Roman" w:hAnsi="Times New Roman" w:cs="Times New Roman"/>
          <w:sz w:val="24"/>
          <w:szCs w:val="24"/>
          <w:lang w:val="en-US"/>
        </w:rPr>
        <w:t xml:space="preserve"> as a </w:t>
      </w:r>
      <w:r w:rsidR="00504365">
        <w:rPr>
          <w:rFonts w:ascii="Times New Roman" w:eastAsia="Times New Roman" w:hAnsi="Times New Roman" w:cs="Times New Roman"/>
          <w:sz w:val="24"/>
          <w:szCs w:val="24"/>
          <w:lang w:val="en-US"/>
        </w:rPr>
        <w:t>unitary and autonomous entity</w:t>
      </w:r>
      <w:r w:rsidRPr="00314F90">
        <w:rPr>
          <w:rFonts w:ascii="Times New Roman" w:eastAsia="Times New Roman" w:hAnsi="Times New Roman" w:cs="Times New Roman"/>
          <w:sz w:val="24"/>
          <w:szCs w:val="24"/>
          <w:lang w:val="en-US"/>
        </w:rPr>
        <w:t>,</w:t>
      </w:r>
      <w:r w:rsidR="00314F90">
        <w:rPr>
          <w:rStyle w:val="FootnoteReference"/>
          <w:rFonts w:ascii="Times New Roman" w:eastAsia="Times New Roman" w:hAnsi="Times New Roman" w:cs="Times New Roman"/>
          <w:sz w:val="24"/>
          <w:szCs w:val="24"/>
          <w:lang w:val="en-US"/>
        </w:rPr>
        <w:footnoteReference w:id="12"/>
      </w:r>
      <w:r w:rsidR="00314F90">
        <w:rPr>
          <w:rFonts w:ascii="Times New Roman" w:eastAsia="Times New Roman" w:hAnsi="Times New Roman" w:cs="Times New Roman"/>
          <w:sz w:val="24"/>
          <w:szCs w:val="24"/>
          <w:lang w:val="en-US"/>
        </w:rPr>
        <w:t xml:space="preserve"> </w:t>
      </w:r>
      <w:r w:rsidRPr="00314F90">
        <w:rPr>
          <w:rFonts w:ascii="Times New Roman" w:eastAsia="Times New Roman" w:hAnsi="Times New Roman" w:cs="Times New Roman"/>
          <w:sz w:val="24"/>
          <w:szCs w:val="24"/>
          <w:lang w:val="en-US"/>
        </w:rPr>
        <w:t xml:space="preserve">we need to make explicit what he is displacing. His target is a familiar </w:t>
      </w:r>
      <w:r w:rsidRPr="00314F90">
        <w:rPr>
          <w:rFonts w:ascii="Times New Roman" w:eastAsia="Times New Roman" w:hAnsi="Times New Roman" w:cs="Times New Roman"/>
          <w:i/>
          <w:iCs/>
          <w:sz w:val="24"/>
          <w:szCs w:val="24"/>
          <w:lang w:val="en-US"/>
        </w:rPr>
        <w:t>sovereign–juridical picture</w:t>
      </w:r>
      <w:r w:rsidRPr="00314F90">
        <w:rPr>
          <w:rFonts w:ascii="Times New Roman" w:eastAsia="Times New Roman" w:hAnsi="Times New Roman" w:cs="Times New Roman"/>
          <w:sz w:val="24"/>
          <w:szCs w:val="24"/>
          <w:lang w:val="en-US"/>
        </w:rPr>
        <w:t xml:space="preserve"> of political power: power is located at a centre, expressed through law, and revealed in the right to command, punish, and</w:t>
      </w:r>
      <w:r w:rsidR="00BD6F59">
        <w:rPr>
          <w:rFonts w:ascii="Times New Roman" w:eastAsia="Times New Roman" w:hAnsi="Times New Roman" w:cs="Times New Roman"/>
          <w:sz w:val="24"/>
          <w:szCs w:val="24"/>
          <w:lang w:val="en-US"/>
        </w:rPr>
        <w:t xml:space="preserve">, </w:t>
      </w:r>
      <w:r w:rsidRPr="00314F90">
        <w:rPr>
          <w:rFonts w:ascii="Times New Roman" w:eastAsia="Times New Roman" w:hAnsi="Times New Roman" w:cs="Times New Roman"/>
          <w:sz w:val="24"/>
          <w:szCs w:val="24"/>
          <w:lang w:val="en-US"/>
        </w:rPr>
        <w:t>at the limit</w:t>
      </w:r>
      <w:r w:rsidR="0057071B">
        <w:rPr>
          <w:rFonts w:ascii="Times New Roman" w:eastAsia="Times New Roman" w:hAnsi="Times New Roman" w:cs="Times New Roman"/>
          <w:sz w:val="24"/>
          <w:szCs w:val="24"/>
          <w:lang w:val="en-US"/>
        </w:rPr>
        <w:t>,</w:t>
      </w:r>
      <w:r w:rsidR="00BD6F59">
        <w:rPr>
          <w:rFonts w:ascii="Times New Roman" w:eastAsia="Times New Roman" w:hAnsi="Times New Roman" w:cs="Times New Roman"/>
          <w:sz w:val="24"/>
          <w:szCs w:val="24"/>
          <w:lang w:val="en-US"/>
        </w:rPr>
        <w:t xml:space="preserve"> </w:t>
      </w:r>
      <w:r w:rsidRPr="00314F90">
        <w:rPr>
          <w:rFonts w:ascii="Times New Roman" w:eastAsia="Times New Roman" w:hAnsi="Times New Roman" w:cs="Times New Roman"/>
          <w:sz w:val="24"/>
          <w:szCs w:val="24"/>
          <w:lang w:val="en-US"/>
        </w:rPr>
        <w:t xml:space="preserve">kill. In this idiom, sovereignty is what grounds </w:t>
      </w:r>
      <w:r w:rsidRPr="00314F90">
        <w:rPr>
          <w:rFonts w:ascii="Times New Roman" w:eastAsia="Times New Roman" w:hAnsi="Times New Roman" w:cs="Times New Roman"/>
          <w:i/>
          <w:iCs/>
          <w:sz w:val="24"/>
          <w:szCs w:val="24"/>
          <w:lang w:val="en-US"/>
        </w:rPr>
        <w:t>coercion</w:t>
      </w:r>
      <w:r w:rsidRPr="00314F90">
        <w:rPr>
          <w:rFonts w:ascii="Times New Roman" w:eastAsia="Times New Roman" w:hAnsi="Times New Roman" w:cs="Times New Roman"/>
          <w:sz w:val="24"/>
          <w:szCs w:val="24"/>
          <w:lang w:val="en-US"/>
        </w:rPr>
        <w:t xml:space="preserve">: who has the right to rule, by what title, and </w:t>
      </w:r>
      <w:r w:rsidRPr="00314F90">
        <w:rPr>
          <w:rFonts w:ascii="Times New Roman" w:eastAsia="Times New Roman" w:hAnsi="Times New Roman" w:cs="Times New Roman"/>
          <w:sz w:val="24"/>
          <w:szCs w:val="24"/>
          <w:lang w:val="en-US"/>
        </w:rPr>
        <w:lastRenderedPageBreak/>
        <w:t xml:space="preserve">within what jurisdiction. This grammar matters because it provides a default way of </w:t>
      </w:r>
      <w:r w:rsidRPr="00314F90">
        <w:rPr>
          <w:rFonts w:ascii="Times New Roman" w:eastAsia="Times New Roman" w:hAnsi="Times New Roman" w:cs="Times New Roman"/>
          <w:i/>
          <w:iCs/>
          <w:sz w:val="24"/>
          <w:szCs w:val="24"/>
          <w:lang w:val="en-US"/>
        </w:rPr>
        <w:t>making the state appear as a unified agent</w:t>
      </w:r>
      <w:r w:rsidRPr="00314F90">
        <w:rPr>
          <w:rFonts w:ascii="Times New Roman" w:eastAsia="Times New Roman" w:hAnsi="Times New Roman" w:cs="Times New Roman"/>
          <w:sz w:val="24"/>
          <w:szCs w:val="24"/>
          <w:lang w:val="en-US"/>
        </w:rPr>
        <w:t>: the thing that rules, protects, and punishes. Foucault’s shorthand for sovereignty in this traditional sense is the right “to take life or let live</w:t>
      </w:r>
      <w:r w:rsidR="000418F2">
        <w:rPr>
          <w:rFonts w:ascii="Times New Roman" w:eastAsia="Times New Roman" w:hAnsi="Times New Roman" w:cs="Times New Roman"/>
          <w:sz w:val="24"/>
          <w:szCs w:val="24"/>
          <w:lang w:val="en-US"/>
        </w:rPr>
        <w:t>.</w:t>
      </w:r>
      <w:r w:rsidRPr="00314F90">
        <w:rPr>
          <w:rFonts w:ascii="Times New Roman" w:eastAsia="Times New Roman" w:hAnsi="Times New Roman" w:cs="Times New Roman"/>
          <w:sz w:val="24"/>
          <w:szCs w:val="24"/>
          <w:lang w:val="en-US"/>
        </w:rPr>
        <w:t>”</w:t>
      </w:r>
      <w:r w:rsidR="00314F90">
        <w:rPr>
          <w:rStyle w:val="FootnoteReference"/>
          <w:rFonts w:ascii="Times New Roman" w:eastAsia="Times New Roman" w:hAnsi="Times New Roman" w:cs="Times New Roman"/>
          <w:sz w:val="24"/>
          <w:szCs w:val="24"/>
          <w:lang w:val="en-US"/>
        </w:rPr>
        <w:footnoteReference w:id="13"/>
      </w:r>
      <w:r w:rsidRPr="00314F90">
        <w:rPr>
          <w:rFonts w:ascii="Times New Roman" w:eastAsia="Times New Roman" w:hAnsi="Times New Roman" w:cs="Times New Roman"/>
          <w:sz w:val="24"/>
          <w:szCs w:val="24"/>
          <w:lang w:val="en-US"/>
        </w:rPr>
        <w:t xml:space="preserve"> The point is not that sovereignty is </w:t>
      </w:r>
      <w:r w:rsidRPr="00314F90">
        <w:rPr>
          <w:rFonts w:ascii="Times New Roman" w:eastAsia="Times New Roman" w:hAnsi="Times New Roman" w:cs="Times New Roman"/>
          <w:i/>
          <w:iCs/>
          <w:sz w:val="24"/>
          <w:szCs w:val="24"/>
          <w:lang w:val="en-US"/>
        </w:rPr>
        <w:t>only</w:t>
      </w:r>
      <w:r w:rsidRPr="00314F90">
        <w:rPr>
          <w:rFonts w:ascii="Times New Roman" w:eastAsia="Times New Roman" w:hAnsi="Times New Roman" w:cs="Times New Roman"/>
          <w:sz w:val="24"/>
          <w:szCs w:val="24"/>
          <w:lang w:val="en-US"/>
        </w:rPr>
        <w:t xml:space="preserve"> repressive, but that it is distinctively </w:t>
      </w:r>
      <w:r w:rsidRPr="00314F90">
        <w:rPr>
          <w:rFonts w:ascii="Times New Roman" w:eastAsia="Times New Roman" w:hAnsi="Times New Roman" w:cs="Times New Roman"/>
          <w:i/>
          <w:iCs/>
          <w:sz w:val="24"/>
          <w:szCs w:val="24"/>
          <w:lang w:val="en-US"/>
        </w:rPr>
        <w:t>juridical</w:t>
      </w:r>
      <w:r w:rsidRPr="00314F90">
        <w:rPr>
          <w:rFonts w:ascii="Times New Roman" w:eastAsia="Times New Roman" w:hAnsi="Times New Roman" w:cs="Times New Roman"/>
          <w:sz w:val="24"/>
          <w:szCs w:val="24"/>
          <w:lang w:val="en-US"/>
        </w:rPr>
        <w:t>: it legitimates itself as a right to command, and frames obedience as a duty. This makes sovereignty a powerful rhetorical resource whenever coercion needs public intelligibility, especially in perceived moments of national crisis or emergency.</w:t>
      </w:r>
    </w:p>
    <w:p w14:paraId="0000001F" w14:textId="5574A189" w:rsidR="00CC5992" w:rsidRPr="00314F90" w:rsidRDefault="00000000">
      <w:pPr>
        <w:spacing w:before="240" w:after="240" w:line="360" w:lineRule="auto"/>
        <w:rPr>
          <w:rFonts w:ascii="Times New Roman" w:eastAsia="Times New Roman" w:hAnsi="Times New Roman" w:cs="Times New Roman"/>
          <w:sz w:val="24"/>
          <w:szCs w:val="24"/>
          <w:lang w:val="en-US"/>
        </w:rPr>
      </w:pPr>
      <w:r w:rsidRPr="00314F90">
        <w:rPr>
          <w:rFonts w:ascii="Times New Roman" w:eastAsia="Times New Roman" w:hAnsi="Times New Roman" w:cs="Times New Roman"/>
          <w:sz w:val="24"/>
          <w:szCs w:val="24"/>
          <w:lang w:val="en-US"/>
        </w:rPr>
        <w:t xml:space="preserve">Two implications matter for the issue of state legitimacy. First, the juridical model tempts both defenders and critics of the state to treat politics as a </w:t>
      </w:r>
      <w:r w:rsidRPr="00314F90">
        <w:rPr>
          <w:rFonts w:ascii="Times New Roman" w:eastAsia="Times New Roman" w:hAnsi="Times New Roman" w:cs="Times New Roman"/>
          <w:i/>
          <w:iCs/>
          <w:sz w:val="24"/>
          <w:szCs w:val="24"/>
          <w:lang w:val="en-US"/>
        </w:rPr>
        <w:t xml:space="preserve">problem of </w:t>
      </w:r>
      <w:proofErr w:type="spellStart"/>
      <w:r w:rsidRPr="00314F90">
        <w:rPr>
          <w:rFonts w:ascii="Times New Roman" w:eastAsia="Times New Roman" w:hAnsi="Times New Roman" w:cs="Times New Roman"/>
          <w:i/>
          <w:iCs/>
          <w:sz w:val="24"/>
          <w:szCs w:val="24"/>
          <w:lang w:val="en-US"/>
        </w:rPr>
        <w:t>authorisation</w:t>
      </w:r>
      <w:proofErr w:type="spellEnd"/>
      <w:r w:rsidRPr="00314F90">
        <w:rPr>
          <w:rFonts w:ascii="Times New Roman" w:eastAsia="Times New Roman" w:hAnsi="Times New Roman" w:cs="Times New Roman"/>
          <w:sz w:val="24"/>
          <w:szCs w:val="24"/>
          <w:lang w:val="en-US"/>
        </w:rPr>
        <w:t xml:space="preserve">: if we can identify the proper source of right (consent, fairness, utility, public reason), we can explain legitimacy. Second, it encourages an image of power as something </w:t>
      </w:r>
      <w:r w:rsidRPr="00314F90">
        <w:rPr>
          <w:rFonts w:ascii="Times New Roman" w:eastAsia="Times New Roman" w:hAnsi="Times New Roman" w:cs="Times New Roman"/>
          <w:i/>
          <w:iCs/>
          <w:sz w:val="24"/>
          <w:szCs w:val="24"/>
          <w:lang w:val="en-US"/>
        </w:rPr>
        <w:t>possessed and exercised from above</w:t>
      </w:r>
      <w:r w:rsidRPr="00314F90">
        <w:rPr>
          <w:rFonts w:ascii="Times New Roman" w:eastAsia="Times New Roman" w:hAnsi="Times New Roman" w:cs="Times New Roman"/>
          <w:sz w:val="24"/>
          <w:szCs w:val="24"/>
          <w:lang w:val="en-US"/>
        </w:rPr>
        <w:t xml:space="preserve">, acting mainly by forbidding and punishing. Foucault’s diagnostic wager is that this picture is systematically incomplete: it misses the everyday mechanisms that </w:t>
      </w:r>
      <w:r w:rsidRPr="00314F90">
        <w:rPr>
          <w:rFonts w:ascii="Times New Roman" w:eastAsia="Times New Roman" w:hAnsi="Times New Roman" w:cs="Times New Roman"/>
          <w:i/>
          <w:iCs/>
          <w:sz w:val="24"/>
          <w:szCs w:val="24"/>
          <w:lang w:val="en-US"/>
        </w:rPr>
        <w:t>make</w:t>
      </w:r>
      <w:r w:rsidRPr="00314F90">
        <w:rPr>
          <w:rFonts w:ascii="Times New Roman" w:eastAsia="Times New Roman" w:hAnsi="Times New Roman" w:cs="Times New Roman"/>
          <w:sz w:val="24"/>
          <w:szCs w:val="24"/>
          <w:lang w:val="en-US"/>
        </w:rPr>
        <w:t xml:space="preserve"> coercion intelligible and acceptable to begin with.</w:t>
      </w:r>
      <w:r w:rsidR="000418F2">
        <w:rPr>
          <w:rStyle w:val="FootnoteReference"/>
          <w:rFonts w:ascii="Times New Roman" w:eastAsia="Times New Roman" w:hAnsi="Times New Roman" w:cs="Times New Roman"/>
          <w:sz w:val="24"/>
          <w:szCs w:val="24"/>
          <w:lang w:val="en-US"/>
        </w:rPr>
        <w:footnoteReference w:id="14"/>
      </w:r>
      <w:r w:rsidRPr="00314F90">
        <w:rPr>
          <w:rFonts w:ascii="Times New Roman" w:eastAsia="Times New Roman" w:hAnsi="Times New Roman" w:cs="Times New Roman"/>
          <w:sz w:val="24"/>
          <w:szCs w:val="24"/>
          <w:lang w:val="en-US"/>
        </w:rPr>
        <w:t xml:space="preserve"> </w:t>
      </w:r>
    </w:p>
    <w:p w14:paraId="00000020" w14:textId="2B854949" w:rsidR="00CC5992" w:rsidRPr="00C04794" w:rsidRDefault="00000000">
      <w:pPr>
        <w:spacing w:before="240" w:after="240" w:line="360" w:lineRule="auto"/>
        <w:rPr>
          <w:rFonts w:ascii="Times New Roman" w:eastAsia="Times New Roman" w:hAnsi="Times New Roman" w:cs="Times New Roman"/>
          <w:sz w:val="24"/>
          <w:szCs w:val="24"/>
          <w:lang w:val="en-US"/>
        </w:rPr>
      </w:pPr>
      <w:r w:rsidRPr="00314F90">
        <w:rPr>
          <w:rFonts w:ascii="Times New Roman" w:eastAsia="Times New Roman" w:hAnsi="Times New Roman" w:cs="Times New Roman"/>
          <w:sz w:val="24"/>
          <w:szCs w:val="24"/>
          <w:lang w:val="en-US"/>
        </w:rPr>
        <w:t>Foucault’s later lectures will show that sovereignty does not disappear in modern political regimes</w:t>
      </w:r>
      <w:r w:rsidR="000418F2">
        <w:rPr>
          <w:rStyle w:val="FootnoteReference"/>
          <w:rFonts w:ascii="Times New Roman" w:eastAsia="Times New Roman" w:hAnsi="Times New Roman" w:cs="Times New Roman"/>
          <w:sz w:val="24"/>
          <w:szCs w:val="24"/>
          <w:lang w:val="en-US"/>
        </w:rPr>
        <w:footnoteReference w:id="15"/>
      </w:r>
      <w:r w:rsidRPr="00314F90">
        <w:rPr>
          <w:rFonts w:ascii="Times New Roman" w:eastAsia="Times New Roman" w:hAnsi="Times New Roman" w:cs="Times New Roman"/>
          <w:sz w:val="24"/>
          <w:szCs w:val="24"/>
          <w:lang w:val="en-US"/>
        </w:rPr>
        <w:t>, although it gets partly displaced. The next step is to show why, for Foucault, the state is not a substance or agent standing behind these forms of power, but a variable configuration that is continually produced, justified, and contested across diverse sites that go beyond the “political” in the juridical sense.</w:t>
      </w:r>
      <w:r w:rsidR="00C04794">
        <w:rPr>
          <w:rFonts w:ascii="Times New Roman" w:eastAsia="Times New Roman" w:hAnsi="Times New Roman" w:cs="Times New Roman"/>
          <w:sz w:val="24"/>
          <w:szCs w:val="24"/>
          <w:lang w:val="en-US"/>
        </w:rPr>
        <w:t xml:space="preserve"> </w:t>
      </w:r>
      <w:r w:rsidR="00C04794" w:rsidRPr="00C04794">
        <w:rPr>
          <w:rFonts w:ascii="Times New Roman" w:eastAsia="Times New Roman" w:hAnsi="Times New Roman" w:cs="Times New Roman"/>
          <w:sz w:val="24"/>
          <w:szCs w:val="24"/>
          <w:lang w:val="en-US"/>
        </w:rPr>
        <w:t>In short, while Foucault refuses to produce a normative theory that justifies the state, he remains deeply concerned with providing a critical, diagnostic account of how the state practically and historically justifies itsel</w:t>
      </w:r>
      <w:r w:rsidR="00C04794">
        <w:rPr>
          <w:rFonts w:ascii="Times New Roman" w:eastAsia="Times New Roman" w:hAnsi="Times New Roman" w:cs="Times New Roman"/>
          <w:sz w:val="24"/>
          <w:szCs w:val="24"/>
          <w:lang w:val="en-US"/>
        </w:rPr>
        <w:t>f.</w:t>
      </w:r>
    </w:p>
    <w:p w14:paraId="00000021" w14:textId="77777777" w:rsidR="00CC5992" w:rsidRPr="00314F90" w:rsidRDefault="00CC5992">
      <w:pPr>
        <w:spacing w:before="240" w:after="240" w:line="360" w:lineRule="auto"/>
        <w:rPr>
          <w:rFonts w:ascii="Times New Roman" w:eastAsia="Times New Roman" w:hAnsi="Times New Roman" w:cs="Times New Roman"/>
          <w:sz w:val="24"/>
          <w:szCs w:val="24"/>
          <w:lang w:val="en-US"/>
        </w:rPr>
      </w:pPr>
    </w:p>
    <w:p w14:paraId="00000022" w14:textId="77777777" w:rsidR="00CC5992" w:rsidRDefault="00000000">
      <w:pPr>
        <w:pStyle w:val="Heading2"/>
        <w:keepNext w:val="0"/>
        <w:keepLines w:val="0"/>
        <w:numPr>
          <w:ilvl w:val="0"/>
          <w:numId w:val="2"/>
        </w:numPr>
        <w:spacing w:before="280" w:line="360" w:lineRule="auto"/>
      </w:pPr>
      <w:bookmarkStart w:id="3" w:name="_lzm27aj7qpt3" w:colFirst="0" w:colLast="0"/>
      <w:bookmarkEnd w:id="3"/>
      <w:r>
        <w:t>Displacing the State</w:t>
      </w:r>
    </w:p>
    <w:p w14:paraId="00000023" w14:textId="082E522A" w:rsidR="00CC5992" w:rsidRPr="00314F90" w:rsidRDefault="00000000">
      <w:pPr>
        <w:spacing w:before="240" w:after="240" w:line="360" w:lineRule="auto"/>
        <w:rPr>
          <w:rFonts w:ascii="Times New Roman" w:eastAsia="Times New Roman" w:hAnsi="Times New Roman" w:cs="Times New Roman"/>
          <w:sz w:val="24"/>
          <w:szCs w:val="24"/>
          <w:lang w:val="en-US"/>
        </w:rPr>
      </w:pPr>
      <w:r w:rsidRPr="00314F90">
        <w:rPr>
          <w:rFonts w:ascii="Times New Roman" w:eastAsia="Times New Roman" w:hAnsi="Times New Roman" w:cs="Times New Roman"/>
          <w:sz w:val="24"/>
          <w:szCs w:val="24"/>
          <w:lang w:val="en-US"/>
        </w:rPr>
        <w:t xml:space="preserve">Next, we must confront Foucault’s most radical methodological move: the shift away from the state as a unitary subject and toward an analysis of the heterogeneous techniques through </w:t>
      </w:r>
      <w:r w:rsidRPr="00314F90">
        <w:rPr>
          <w:rFonts w:ascii="Times New Roman" w:eastAsia="Times New Roman" w:hAnsi="Times New Roman" w:cs="Times New Roman"/>
          <w:sz w:val="24"/>
          <w:szCs w:val="24"/>
          <w:lang w:val="en-US"/>
        </w:rPr>
        <w:lastRenderedPageBreak/>
        <w:t xml:space="preserve">which governance, in both its state </w:t>
      </w:r>
      <w:r w:rsidRPr="00314F90">
        <w:rPr>
          <w:rFonts w:ascii="Times New Roman" w:eastAsia="Times New Roman" w:hAnsi="Times New Roman" w:cs="Times New Roman"/>
          <w:i/>
          <w:iCs/>
          <w:sz w:val="24"/>
          <w:szCs w:val="24"/>
          <w:lang w:val="en-US"/>
        </w:rPr>
        <w:t>and</w:t>
      </w:r>
      <w:r w:rsidRPr="00314F90">
        <w:rPr>
          <w:rFonts w:ascii="Times New Roman" w:eastAsia="Times New Roman" w:hAnsi="Times New Roman" w:cs="Times New Roman"/>
          <w:sz w:val="24"/>
          <w:szCs w:val="24"/>
          <w:lang w:val="en-US"/>
        </w:rPr>
        <w:t xml:space="preserve"> non-state forms, becomes thinkable and justifiable. As he famously declared in </w:t>
      </w:r>
      <w:r w:rsidRPr="00314F90">
        <w:rPr>
          <w:rFonts w:ascii="Times New Roman" w:eastAsia="Times New Roman" w:hAnsi="Times New Roman" w:cs="Times New Roman"/>
          <w:i/>
          <w:iCs/>
          <w:sz w:val="24"/>
          <w:szCs w:val="24"/>
          <w:lang w:val="en-US"/>
        </w:rPr>
        <w:t>The History of Sexuality</w:t>
      </w:r>
      <w:r w:rsidRPr="00314F90">
        <w:rPr>
          <w:rFonts w:ascii="Times New Roman" w:eastAsia="Times New Roman" w:hAnsi="Times New Roman" w:cs="Times New Roman"/>
          <w:sz w:val="24"/>
          <w:szCs w:val="24"/>
          <w:lang w:val="en-US"/>
        </w:rPr>
        <w:t>, “We must cut off the King’s head: in political theory that has still to be done</w:t>
      </w:r>
      <w:r w:rsidR="000418F2">
        <w:rPr>
          <w:rFonts w:ascii="Times New Roman" w:eastAsia="Times New Roman" w:hAnsi="Times New Roman" w:cs="Times New Roman"/>
          <w:sz w:val="24"/>
          <w:szCs w:val="24"/>
          <w:lang w:val="en-US"/>
        </w:rPr>
        <w:t>.”</w:t>
      </w:r>
      <w:r w:rsidR="000418F2">
        <w:rPr>
          <w:rStyle w:val="FootnoteReference"/>
          <w:rFonts w:ascii="Times New Roman" w:eastAsia="Times New Roman" w:hAnsi="Times New Roman" w:cs="Times New Roman"/>
          <w:sz w:val="24"/>
          <w:szCs w:val="24"/>
          <w:lang w:val="en-US"/>
        </w:rPr>
        <w:footnoteReference w:id="16"/>
      </w:r>
      <w:r w:rsidRPr="00314F90">
        <w:rPr>
          <w:rFonts w:ascii="Times New Roman" w:eastAsia="Times New Roman" w:hAnsi="Times New Roman" w:cs="Times New Roman"/>
          <w:sz w:val="24"/>
          <w:szCs w:val="24"/>
          <w:lang w:val="en-US"/>
        </w:rPr>
        <w:t xml:space="preserve"> This entails a refusal to grant the state analytical priority. Explicitly adopting the stance of a “nominalist,” Foucault asserts that power is not a substance or an entity that can be held or exchanged; it is a “name that one attributes to a complex strategical situation in a particular societ</w:t>
      </w:r>
      <w:r w:rsidR="000418F2">
        <w:rPr>
          <w:rFonts w:ascii="Times New Roman" w:eastAsia="Times New Roman" w:hAnsi="Times New Roman" w:cs="Times New Roman"/>
          <w:sz w:val="24"/>
          <w:szCs w:val="24"/>
          <w:lang w:val="en-US"/>
        </w:rPr>
        <w:t>y</w:t>
      </w:r>
      <w:r w:rsidRPr="00314F90">
        <w:rPr>
          <w:rFonts w:ascii="Times New Roman" w:eastAsia="Times New Roman" w:hAnsi="Times New Roman" w:cs="Times New Roman"/>
          <w:sz w:val="24"/>
          <w:szCs w:val="24"/>
          <w:lang w:val="en-US"/>
        </w:rPr>
        <w:t>.</w:t>
      </w:r>
      <w:r w:rsidR="000418F2">
        <w:rPr>
          <w:rFonts w:ascii="Times New Roman" w:eastAsia="Times New Roman" w:hAnsi="Times New Roman" w:cs="Times New Roman"/>
          <w:sz w:val="24"/>
          <w:szCs w:val="24"/>
          <w:lang w:val="en-US"/>
        </w:rPr>
        <w:t>”</w:t>
      </w:r>
      <w:r w:rsidR="000418F2">
        <w:rPr>
          <w:rStyle w:val="FootnoteReference"/>
          <w:rFonts w:ascii="Times New Roman" w:eastAsia="Times New Roman" w:hAnsi="Times New Roman" w:cs="Times New Roman"/>
          <w:sz w:val="24"/>
          <w:szCs w:val="24"/>
          <w:lang w:val="en-US"/>
        </w:rPr>
        <w:footnoteReference w:id="17"/>
      </w:r>
      <w:r w:rsidRPr="00314F90">
        <w:rPr>
          <w:rFonts w:ascii="Times New Roman" w:eastAsia="Times New Roman" w:hAnsi="Times New Roman" w:cs="Times New Roman"/>
          <w:sz w:val="24"/>
          <w:szCs w:val="24"/>
          <w:lang w:val="en-US"/>
        </w:rPr>
        <w:t xml:space="preserve"> He does not ask what power </w:t>
      </w:r>
      <w:r w:rsidRPr="00314F90">
        <w:rPr>
          <w:rFonts w:ascii="Times New Roman" w:eastAsia="Times New Roman" w:hAnsi="Times New Roman" w:cs="Times New Roman"/>
          <w:i/>
          <w:iCs/>
          <w:sz w:val="24"/>
          <w:szCs w:val="24"/>
          <w:lang w:val="en-US"/>
        </w:rPr>
        <w:t>is</w:t>
      </w:r>
      <w:r w:rsidRPr="00314F90">
        <w:rPr>
          <w:rFonts w:ascii="Times New Roman" w:eastAsia="Times New Roman" w:hAnsi="Times New Roman" w:cs="Times New Roman"/>
          <w:sz w:val="24"/>
          <w:szCs w:val="24"/>
          <w:lang w:val="en-US"/>
        </w:rPr>
        <w:t xml:space="preserve"> in its essence, but how it </w:t>
      </w:r>
      <w:r w:rsidRPr="00314F90">
        <w:rPr>
          <w:rFonts w:ascii="Times New Roman" w:eastAsia="Times New Roman" w:hAnsi="Times New Roman" w:cs="Times New Roman"/>
          <w:i/>
          <w:iCs/>
          <w:sz w:val="24"/>
          <w:szCs w:val="24"/>
          <w:lang w:val="en-US"/>
        </w:rPr>
        <w:t>operates</w:t>
      </w:r>
      <w:r w:rsidRPr="00314F90">
        <w:rPr>
          <w:rFonts w:ascii="Times New Roman" w:eastAsia="Times New Roman" w:hAnsi="Times New Roman" w:cs="Times New Roman"/>
          <w:sz w:val="24"/>
          <w:szCs w:val="24"/>
          <w:lang w:val="en-US"/>
        </w:rPr>
        <w:t xml:space="preserve"> in its exercise. This inquiry requires a specific set of tools: </w:t>
      </w:r>
      <w:r w:rsidRPr="00314F90">
        <w:rPr>
          <w:rFonts w:ascii="Times New Roman" w:eastAsia="Times New Roman" w:hAnsi="Times New Roman" w:cs="Times New Roman"/>
          <w:i/>
          <w:iCs/>
          <w:sz w:val="24"/>
          <w:szCs w:val="24"/>
          <w:lang w:val="en-US"/>
        </w:rPr>
        <w:t>archaeology</w:t>
      </w:r>
      <w:r w:rsidR="000418F2">
        <w:rPr>
          <w:rStyle w:val="FootnoteReference"/>
          <w:rFonts w:ascii="Times New Roman" w:eastAsia="Times New Roman" w:hAnsi="Times New Roman" w:cs="Times New Roman"/>
          <w:i/>
          <w:iCs/>
          <w:sz w:val="24"/>
          <w:szCs w:val="24"/>
          <w:lang w:val="en-US"/>
        </w:rPr>
        <w:footnoteReference w:id="18"/>
      </w:r>
      <w:r w:rsidRPr="00314F90">
        <w:rPr>
          <w:rFonts w:ascii="Times New Roman" w:eastAsia="Times New Roman" w:hAnsi="Times New Roman" w:cs="Times New Roman"/>
          <w:sz w:val="24"/>
          <w:szCs w:val="24"/>
          <w:lang w:val="en-US"/>
        </w:rPr>
        <w:t xml:space="preserve"> and </w:t>
      </w:r>
      <w:r w:rsidRPr="00314F90">
        <w:rPr>
          <w:rFonts w:ascii="Times New Roman" w:eastAsia="Times New Roman" w:hAnsi="Times New Roman" w:cs="Times New Roman"/>
          <w:i/>
          <w:iCs/>
          <w:sz w:val="24"/>
          <w:szCs w:val="24"/>
          <w:lang w:val="en-US"/>
        </w:rPr>
        <w:t>genealogy</w:t>
      </w:r>
      <w:r w:rsidR="000418F2">
        <w:rPr>
          <w:rStyle w:val="FootnoteReference"/>
          <w:rFonts w:ascii="Times New Roman" w:eastAsia="Times New Roman" w:hAnsi="Times New Roman" w:cs="Times New Roman"/>
          <w:i/>
          <w:iCs/>
          <w:sz w:val="24"/>
          <w:szCs w:val="24"/>
          <w:lang w:val="en-US"/>
        </w:rPr>
        <w:footnoteReference w:id="19"/>
      </w:r>
      <w:r w:rsidRPr="00314F90">
        <w:rPr>
          <w:rFonts w:ascii="Times New Roman" w:eastAsia="Times New Roman" w:hAnsi="Times New Roman" w:cs="Times New Roman"/>
          <w:sz w:val="24"/>
          <w:szCs w:val="24"/>
          <w:lang w:val="en-US"/>
        </w:rPr>
        <w:t>. Foucault never abandons his “archaeological” analysis of discourse, but rather situates it within a wider field of historical practices.</w:t>
      </w:r>
      <w:r w:rsidR="000418F2">
        <w:rPr>
          <w:rStyle w:val="FootnoteReference"/>
          <w:rFonts w:ascii="Times New Roman" w:eastAsia="Times New Roman" w:hAnsi="Times New Roman" w:cs="Times New Roman"/>
          <w:sz w:val="24"/>
          <w:szCs w:val="24"/>
          <w:lang w:val="en-US"/>
        </w:rPr>
        <w:footnoteReference w:id="20"/>
      </w:r>
      <w:r w:rsidRPr="00314F90">
        <w:rPr>
          <w:rFonts w:ascii="Times New Roman" w:eastAsia="Times New Roman" w:hAnsi="Times New Roman" w:cs="Times New Roman"/>
          <w:sz w:val="24"/>
          <w:szCs w:val="24"/>
          <w:lang w:val="en-US"/>
        </w:rPr>
        <w:t xml:space="preserve"> The crucial insight is that the state itself is not a fixed universal but a historical artifact, shaped by the same shifts in knowledge and practice that transformed the hospital and the prison.</w:t>
      </w:r>
    </w:p>
    <w:p w14:paraId="00000024" w14:textId="0C54198F" w:rsidR="00CC5992" w:rsidRPr="00314F90" w:rsidRDefault="00000000">
      <w:pPr>
        <w:spacing w:before="240" w:after="240" w:line="360" w:lineRule="auto"/>
        <w:rPr>
          <w:rFonts w:ascii="Times New Roman" w:eastAsia="Times New Roman" w:hAnsi="Times New Roman" w:cs="Times New Roman"/>
          <w:sz w:val="24"/>
          <w:szCs w:val="24"/>
          <w:lang w:val="en-US"/>
        </w:rPr>
      </w:pPr>
      <w:r w:rsidRPr="00314F90">
        <w:rPr>
          <w:rFonts w:ascii="Times New Roman" w:eastAsia="Times New Roman" w:hAnsi="Times New Roman" w:cs="Times New Roman"/>
          <w:sz w:val="24"/>
          <w:szCs w:val="24"/>
          <w:lang w:val="en-US"/>
        </w:rPr>
        <w:t xml:space="preserve">This is where the importance of </w:t>
      </w:r>
      <w:r w:rsidRPr="00314F90">
        <w:rPr>
          <w:rFonts w:ascii="Times New Roman" w:eastAsia="Times New Roman" w:hAnsi="Times New Roman" w:cs="Times New Roman"/>
          <w:i/>
          <w:iCs/>
          <w:sz w:val="24"/>
          <w:szCs w:val="24"/>
          <w:lang w:val="en-US"/>
        </w:rPr>
        <w:t>Mode C</w:t>
      </w:r>
      <w:r w:rsidRPr="00314F90">
        <w:rPr>
          <w:rFonts w:ascii="Times New Roman" w:eastAsia="Times New Roman" w:hAnsi="Times New Roman" w:cs="Times New Roman"/>
          <w:sz w:val="24"/>
          <w:szCs w:val="24"/>
          <w:lang w:val="en-US"/>
        </w:rPr>
        <w:t xml:space="preserve"> analysis becomes clear. By engaging in the “gray, meticulous, and patiently documentary” work of genealogy</w:t>
      </w:r>
      <w:r w:rsidR="000418F2">
        <w:rPr>
          <w:rStyle w:val="FootnoteReference"/>
          <w:rFonts w:ascii="Times New Roman" w:eastAsia="Times New Roman" w:hAnsi="Times New Roman" w:cs="Times New Roman"/>
          <w:sz w:val="24"/>
          <w:szCs w:val="24"/>
          <w:lang w:val="en-US"/>
        </w:rPr>
        <w:footnoteReference w:id="21"/>
      </w:r>
      <w:r w:rsidRPr="00314F90">
        <w:rPr>
          <w:rFonts w:ascii="Times New Roman" w:eastAsia="Times New Roman" w:hAnsi="Times New Roman" w:cs="Times New Roman"/>
          <w:sz w:val="24"/>
          <w:szCs w:val="24"/>
          <w:lang w:val="en-US"/>
        </w:rPr>
        <w:t xml:space="preserve">, Foucault uncovers the contingent origins of our present practices. This method alters the “space of reasons” available to us in the mode of a Kantian critique of the present discursive </w:t>
      </w:r>
      <w:r w:rsidR="000418F2">
        <w:rPr>
          <w:rFonts w:ascii="Times New Roman" w:eastAsia="Times New Roman" w:hAnsi="Times New Roman" w:cs="Times New Roman"/>
          <w:sz w:val="24"/>
          <w:szCs w:val="24"/>
          <w:lang w:val="en-US"/>
        </w:rPr>
        <w:t>reality</w:t>
      </w:r>
      <w:r w:rsidRPr="00314F90">
        <w:rPr>
          <w:rFonts w:ascii="Times New Roman" w:eastAsia="Times New Roman" w:hAnsi="Times New Roman" w:cs="Times New Roman"/>
          <w:sz w:val="24"/>
          <w:szCs w:val="24"/>
          <w:lang w:val="en-US"/>
        </w:rPr>
        <w:t>.</w:t>
      </w:r>
      <w:r w:rsidR="000418F2">
        <w:rPr>
          <w:rStyle w:val="FootnoteReference"/>
          <w:rFonts w:ascii="Times New Roman" w:eastAsia="Times New Roman" w:hAnsi="Times New Roman" w:cs="Times New Roman"/>
          <w:sz w:val="24"/>
          <w:szCs w:val="24"/>
          <w:lang w:val="en-US"/>
        </w:rPr>
        <w:footnoteReference w:id="22"/>
      </w:r>
      <w:r w:rsidRPr="00314F90">
        <w:rPr>
          <w:rFonts w:ascii="Times New Roman" w:eastAsia="Times New Roman" w:hAnsi="Times New Roman" w:cs="Times New Roman"/>
          <w:sz w:val="24"/>
          <w:szCs w:val="24"/>
          <w:lang w:val="en-US"/>
        </w:rPr>
        <w:t xml:space="preserve"> When Foucault analy</w:t>
      </w:r>
      <w:r w:rsidR="00BD6F59">
        <w:rPr>
          <w:rFonts w:ascii="Times New Roman" w:eastAsia="Times New Roman" w:hAnsi="Times New Roman" w:cs="Times New Roman"/>
          <w:sz w:val="24"/>
          <w:szCs w:val="24"/>
          <w:lang w:val="en-US"/>
        </w:rPr>
        <w:t>s</w:t>
      </w:r>
      <w:r w:rsidRPr="00314F90">
        <w:rPr>
          <w:rFonts w:ascii="Times New Roman" w:eastAsia="Times New Roman" w:hAnsi="Times New Roman" w:cs="Times New Roman"/>
          <w:sz w:val="24"/>
          <w:szCs w:val="24"/>
          <w:lang w:val="en-US"/>
        </w:rPr>
        <w:t>es the birth of the prison or the asylum, he is not merely recounting history; he is exposing the conditions of possibility that allow specific forms of coercion to appear rational, necessary, and indisputable.</w:t>
      </w:r>
    </w:p>
    <w:p w14:paraId="00000025" w14:textId="7378F85B" w:rsidR="00CC5992" w:rsidRPr="00314F90" w:rsidRDefault="00000000">
      <w:pPr>
        <w:spacing w:before="240" w:after="240" w:line="360" w:lineRule="auto"/>
        <w:rPr>
          <w:rFonts w:ascii="Times New Roman" w:eastAsia="Times New Roman" w:hAnsi="Times New Roman" w:cs="Times New Roman"/>
          <w:sz w:val="24"/>
          <w:szCs w:val="24"/>
          <w:lang w:val="en-US"/>
        </w:rPr>
      </w:pPr>
      <w:r w:rsidRPr="00314F90">
        <w:rPr>
          <w:rFonts w:ascii="Times New Roman" w:eastAsia="Times New Roman" w:hAnsi="Times New Roman" w:cs="Times New Roman"/>
          <w:sz w:val="24"/>
          <w:szCs w:val="24"/>
          <w:lang w:val="en-US"/>
        </w:rPr>
        <w:t>This genealogical descent turned Foucault from the “macro-physics” of Sovereignty more and more toward the “micro-physics” of disciplinary power. He argues that the techniques for governing men did not simply descend from a central point, such as the Prince or the Parliament. However, he does not replace this with a simple “bottom-up” story either. Instead, he posits a “</w:t>
      </w:r>
      <w:proofErr w:type="spellStart"/>
      <w:r w:rsidRPr="00314F90">
        <w:rPr>
          <w:rFonts w:ascii="Times New Roman" w:eastAsia="Times New Roman" w:hAnsi="Times New Roman" w:cs="Times New Roman"/>
          <w:sz w:val="24"/>
          <w:szCs w:val="24"/>
          <w:lang w:val="en-US"/>
        </w:rPr>
        <w:t>decentred</w:t>
      </w:r>
      <w:proofErr w:type="spellEnd"/>
      <w:r w:rsidRPr="00314F90">
        <w:rPr>
          <w:rFonts w:ascii="Times New Roman" w:eastAsia="Times New Roman" w:hAnsi="Times New Roman" w:cs="Times New Roman"/>
          <w:sz w:val="24"/>
          <w:szCs w:val="24"/>
          <w:lang w:val="en-US"/>
        </w:rPr>
        <w:t xml:space="preserve">” view where power originates in the “power relations” found </w:t>
      </w:r>
      <w:r w:rsidRPr="00314F90">
        <w:rPr>
          <w:rFonts w:ascii="Times New Roman" w:eastAsia="Times New Roman" w:hAnsi="Times New Roman" w:cs="Times New Roman"/>
          <w:sz w:val="24"/>
          <w:szCs w:val="24"/>
          <w:lang w:val="en-US"/>
        </w:rPr>
        <w:lastRenderedPageBreak/>
        <w:t>in the machinery of production, families, local groups, and institutions</w:t>
      </w:r>
      <w:r w:rsidR="000418F2">
        <w:rPr>
          <w:rFonts w:ascii="Times New Roman" w:eastAsia="Times New Roman" w:hAnsi="Times New Roman" w:cs="Times New Roman"/>
          <w:sz w:val="24"/>
          <w:szCs w:val="24"/>
          <w:lang w:val="en-US"/>
        </w:rPr>
        <w:t>.</w:t>
      </w:r>
      <w:r w:rsidR="000418F2">
        <w:rPr>
          <w:rStyle w:val="FootnoteReference"/>
          <w:rFonts w:ascii="Times New Roman" w:eastAsia="Times New Roman" w:hAnsi="Times New Roman" w:cs="Times New Roman"/>
          <w:sz w:val="24"/>
          <w:szCs w:val="24"/>
          <w:lang w:val="en-US"/>
        </w:rPr>
        <w:footnoteReference w:id="23"/>
      </w:r>
      <w:r w:rsidR="000418F2">
        <w:rPr>
          <w:rFonts w:ascii="Times New Roman" w:eastAsia="Times New Roman" w:hAnsi="Times New Roman" w:cs="Times New Roman"/>
          <w:sz w:val="24"/>
          <w:szCs w:val="24"/>
          <w:lang w:val="en-US"/>
        </w:rPr>
        <w:t xml:space="preserve"> </w:t>
      </w:r>
      <w:r w:rsidRPr="00314F90">
        <w:rPr>
          <w:rFonts w:ascii="Times New Roman" w:eastAsia="Times New Roman" w:hAnsi="Times New Roman" w:cs="Times New Roman"/>
          <w:sz w:val="24"/>
          <w:szCs w:val="24"/>
          <w:lang w:val="en-US"/>
        </w:rPr>
        <w:t xml:space="preserve">Power is “capillary”; it exists in the interstices, networks, and relations between people and institutions, rather than emanating from a single origin or “Ur-point.” </w:t>
      </w:r>
    </w:p>
    <w:p w14:paraId="00000026" w14:textId="7FDCC380" w:rsidR="00CC5992" w:rsidRPr="00314F90" w:rsidRDefault="00000000">
      <w:pPr>
        <w:spacing w:before="240" w:after="240" w:line="360" w:lineRule="auto"/>
        <w:rPr>
          <w:rFonts w:ascii="Times New Roman" w:eastAsia="Times New Roman" w:hAnsi="Times New Roman" w:cs="Times New Roman"/>
          <w:sz w:val="24"/>
          <w:szCs w:val="24"/>
          <w:lang w:val="en-US"/>
        </w:rPr>
      </w:pPr>
      <w:r w:rsidRPr="00314F90">
        <w:rPr>
          <w:rFonts w:ascii="Times New Roman" w:eastAsia="Times New Roman" w:hAnsi="Times New Roman" w:cs="Times New Roman"/>
          <w:sz w:val="24"/>
          <w:szCs w:val="24"/>
          <w:lang w:val="en-US"/>
        </w:rPr>
        <w:t xml:space="preserve">This shift has profound implications for how power is justified. Under the logic of sovereignty, the state justifies its violence through the </w:t>
      </w:r>
      <w:r w:rsidRPr="00314F90">
        <w:rPr>
          <w:rFonts w:ascii="Times New Roman" w:eastAsia="Times New Roman" w:hAnsi="Times New Roman" w:cs="Times New Roman"/>
          <w:i/>
          <w:iCs/>
          <w:sz w:val="24"/>
          <w:szCs w:val="24"/>
          <w:lang w:val="en-US"/>
        </w:rPr>
        <w:t>Law</w:t>
      </w:r>
      <w:r w:rsidRPr="00314F90">
        <w:rPr>
          <w:rFonts w:ascii="Times New Roman" w:eastAsia="Times New Roman" w:hAnsi="Times New Roman" w:cs="Times New Roman"/>
          <w:sz w:val="24"/>
          <w:szCs w:val="24"/>
          <w:lang w:val="en-US"/>
        </w:rPr>
        <w:t>: the criminal is punished because they have violated the will of the sovereign or the social contract.</w:t>
      </w:r>
      <w:r w:rsidR="000418F2">
        <w:rPr>
          <w:rStyle w:val="FootnoteReference"/>
          <w:rFonts w:ascii="Times New Roman" w:eastAsia="Times New Roman" w:hAnsi="Times New Roman" w:cs="Times New Roman"/>
          <w:sz w:val="24"/>
          <w:szCs w:val="24"/>
          <w:lang w:val="en-US"/>
        </w:rPr>
        <w:footnoteReference w:id="24"/>
      </w:r>
      <w:r w:rsidRPr="00314F90">
        <w:rPr>
          <w:rFonts w:ascii="Times New Roman" w:eastAsia="Times New Roman" w:hAnsi="Times New Roman" w:cs="Times New Roman"/>
          <w:sz w:val="24"/>
          <w:szCs w:val="24"/>
          <w:lang w:val="en-US"/>
        </w:rPr>
        <w:t xml:space="preserve"> However, Foucault demonstrates that with the rise of industrial capitalism and the modern army, a new “technology of power” emerged that required a fundamentally different mode of legitimation. Disciplinary power justifies itself not through the </w:t>
      </w:r>
      <w:r w:rsidRPr="00314F90">
        <w:rPr>
          <w:rFonts w:ascii="Times New Roman" w:eastAsia="Times New Roman" w:hAnsi="Times New Roman" w:cs="Times New Roman"/>
          <w:i/>
          <w:iCs/>
          <w:sz w:val="24"/>
          <w:szCs w:val="24"/>
          <w:lang w:val="en-US"/>
        </w:rPr>
        <w:t>Right</w:t>
      </w:r>
      <w:r w:rsidRPr="00314F90">
        <w:rPr>
          <w:rFonts w:ascii="Times New Roman" w:eastAsia="Times New Roman" w:hAnsi="Times New Roman" w:cs="Times New Roman"/>
          <w:sz w:val="24"/>
          <w:szCs w:val="24"/>
          <w:lang w:val="en-US"/>
        </w:rPr>
        <w:t xml:space="preserve"> to punish, but through the </w:t>
      </w:r>
      <w:r w:rsidRPr="00314F90">
        <w:rPr>
          <w:rFonts w:ascii="Times New Roman" w:eastAsia="Times New Roman" w:hAnsi="Times New Roman" w:cs="Times New Roman"/>
          <w:i/>
          <w:iCs/>
          <w:sz w:val="24"/>
          <w:szCs w:val="24"/>
          <w:lang w:val="en-US"/>
        </w:rPr>
        <w:t>Truth</w:t>
      </w:r>
      <w:r w:rsidRPr="00314F90">
        <w:rPr>
          <w:rFonts w:ascii="Times New Roman" w:eastAsia="Times New Roman" w:hAnsi="Times New Roman" w:cs="Times New Roman"/>
          <w:sz w:val="24"/>
          <w:szCs w:val="24"/>
          <w:lang w:val="en-US"/>
        </w:rPr>
        <w:t xml:space="preserve"> of correction. Its goal is not to destroy the enemy of the sovereign, but to train the body of the individual, rendering it both “docile and useful.</w:t>
      </w:r>
      <w:r w:rsidR="000418F2">
        <w:rPr>
          <w:rFonts w:ascii="Times New Roman" w:eastAsia="Times New Roman" w:hAnsi="Times New Roman" w:cs="Times New Roman"/>
          <w:sz w:val="24"/>
          <w:szCs w:val="24"/>
          <w:lang w:val="en-US"/>
        </w:rPr>
        <w:t>”</w:t>
      </w:r>
      <w:r w:rsidR="000418F2">
        <w:rPr>
          <w:rStyle w:val="FootnoteReference"/>
          <w:rFonts w:ascii="Times New Roman" w:eastAsia="Times New Roman" w:hAnsi="Times New Roman" w:cs="Times New Roman"/>
          <w:sz w:val="24"/>
          <w:szCs w:val="24"/>
          <w:lang w:val="en-US"/>
        </w:rPr>
        <w:footnoteReference w:id="25"/>
      </w:r>
      <w:r w:rsidRPr="00314F90">
        <w:rPr>
          <w:rFonts w:ascii="Times New Roman" w:eastAsia="Times New Roman" w:hAnsi="Times New Roman" w:cs="Times New Roman"/>
          <w:sz w:val="24"/>
          <w:szCs w:val="24"/>
          <w:lang w:val="en-US"/>
        </w:rPr>
        <w:t xml:space="preserve"> The legitimacy of the prison, therefore, does not rest on the sheer authority of the state, but on the </w:t>
      </w:r>
      <w:r w:rsidRPr="00314F90">
        <w:rPr>
          <w:rFonts w:ascii="Times New Roman" w:eastAsia="Times New Roman" w:hAnsi="Times New Roman" w:cs="Times New Roman"/>
          <w:i/>
          <w:iCs/>
          <w:sz w:val="24"/>
          <w:szCs w:val="24"/>
          <w:lang w:val="en-US"/>
        </w:rPr>
        <w:t>claim to knowledge</w:t>
      </w:r>
      <w:r w:rsidRPr="00314F90">
        <w:rPr>
          <w:rFonts w:ascii="Times New Roman" w:eastAsia="Times New Roman" w:hAnsi="Times New Roman" w:cs="Times New Roman"/>
          <w:sz w:val="24"/>
          <w:szCs w:val="24"/>
          <w:lang w:val="en-US"/>
        </w:rPr>
        <w:t xml:space="preserve"> possessed by the emerging human sciences: criminology, psychiatry, and pedagogy. Coercion is re-coded as a therapeutic or administrative necessity. We detain the individual not merely because they broke the law, but because they are “delinquent,” “abnormal,” or “developmentally delayed,” categories </w:t>
      </w:r>
      <w:r w:rsidR="008A189F">
        <w:rPr>
          <w:rFonts w:ascii="Times New Roman" w:eastAsia="Times New Roman" w:hAnsi="Times New Roman" w:cs="Times New Roman"/>
          <w:sz w:val="24"/>
          <w:szCs w:val="24"/>
          <w:lang w:val="en-US"/>
        </w:rPr>
        <w:t xml:space="preserve">already rooted in the </w:t>
      </w:r>
      <w:r w:rsidRPr="00314F90">
        <w:rPr>
          <w:rFonts w:ascii="Times New Roman" w:eastAsia="Times New Roman" w:hAnsi="Times New Roman" w:cs="Times New Roman"/>
          <w:sz w:val="24"/>
          <w:szCs w:val="24"/>
          <w:lang w:val="en-US"/>
        </w:rPr>
        <w:t>“Great Confinement” of the insane</w:t>
      </w:r>
      <w:r w:rsidR="000418F2">
        <w:rPr>
          <w:rFonts w:ascii="Times New Roman" w:eastAsia="Times New Roman" w:hAnsi="Times New Roman" w:cs="Times New Roman"/>
          <w:sz w:val="24"/>
          <w:szCs w:val="24"/>
          <w:lang w:val="en-US"/>
        </w:rPr>
        <w:t>.</w:t>
      </w:r>
      <w:r w:rsidR="000418F2">
        <w:rPr>
          <w:rStyle w:val="FootnoteReference"/>
          <w:rFonts w:ascii="Times New Roman" w:eastAsia="Times New Roman" w:hAnsi="Times New Roman" w:cs="Times New Roman"/>
          <w:sz w:val="24"/>
          <w:szCs w:val="24"/>
          <w:lang w:val="en-US"/>
        </w:rPr>
        <w:footnoteReference w:id="26"/>
      </w:r>
      <w:r w:rsidR="000418F2">
        <w:rPr>
          <w:rFonts w:ascii="Times New Roman" w:eastAsia="Times New Roman" w:hAnsi="Times New Roman" w:cs="Times New Roman"/>
          <w:sz w:val="24"/>
          <w:szCs w:val="24"/>
          <w:lang w:val="en-US"/>
        </w:rPr>
        <w:t xml:space="preserve"> </w:t>
      </w:r>
      <w:r w:rsidRPr="00314F90">
        <w:rPr>
          <w:rFonts w:ascii="Times New Roman" w:eastAsia="Times New Roman" w:hAnsi="Times New Roman" w:cs="Times New Roman"/>
          <w:sz w:val="24"/>
          <w:szCs w:val="24"/>
          <w:lang w:val="en-US"/>
        </w:rPr>
        <w:t>Discipline gets gilded with objective, scientific validity. A state that employs disciplinary power thus reframes its legitimacy by showing how coercion can be justified, routinised, and experienced as “improvement” through expert norms.</w:t>
      </w:r>
      <w:r w:rsidR="006C0EC6">
        <w:rPr>
          <w:rFonts w:ascii="Times New Roman" w:eastAsia="Times New Roman" w:hAnsi="Times New Roman" w:cs="Times New Roman"/>
          <w:sz w:val="24"/>
          <w:szCs w:val="24"/>
          <w:lang w:val="en-US"/>
        </w:rPr>
        <w:tab/>
      </w:r>
    </w:p>
    <w:p w14:paraId="00000027" w14:textId="0AED758B" w:rsidR="00CC5992" w:rsidRPr="00314F90" w:rsidRDefault="00000000">
      <w:pPr>
        <w:spacing w:before="240" w:after="240" w:line="360" w:lineRule="auto"/>
        <w:rPr>
          <w:rFonts w:ascii="Times New Roman" w:eastAsia="Times New Roman" w:hAnsi="Times New Roman" w:cs="Times New Roman"/>
          <w:sz w:val="24"/>
          <w:szCs w:val="24"/>
          <w:lang w:val="en-US"/>
        </w:rPr>
      </w:pPr>
      <w:r w:rsidRPr="00314F90">
        <w:rPr>
          <w:rFonts w:ascii="Times New Roman" w:eastAsia="Times New Roman" w:hAnsi="Times New Roman" w:cs="Times New Roman"/>
          <w:sz w:val="24"/>
          <w:szCs w:val="24"/>
          <w:lang w:val="en-US"/>
        </w:rPr>
        <w:t xml:space="preserve">Famously, Foucault’s genealogy reveals a “carceral archipelago” where the same set of techniques are diffused throughout the entire social body: schools, barracks, factories, and hospitals all </w:t>
      </w:r>
      <w:proofErr w:type="spellStart"/>
      <w:r w:rsidRPr="00314F90">
        <w:rPr>
          <w:rFonts w:ascii="Times New Roman" w:eastAsia="Times New Roman" w:hAnsi="Times New Roman" w:cs="Times New Roman"/>
          <w:sz w:val="24"/>
          <w:szCs w:val="24"/>
          <w:lang w:val="en-US"/>
        </w:rPr>
        <w:t>utilise</w:t>
      </w:r>
      <w:proofErr w:type="spellEnd"/>
      <w:r w:rsidRPr="00314F90">
        <w:rPr>
          <w:rFonts w:ascii="Times New Roman" w:eastAsia="Times New Roman" w:hAnsi="Times New Roman" w:cs="Times New Roman"/>
          <w:sz w:val="24"/>
          <w:szCs w:val="24"/>
          <w:lang w:val="en-US"/>
        </w:rPr>
        <w:t xml:space="preserve"> the same mechanisms of observation, partitioning, and ranking</w:t>
      </w:r>
      <w:r w:rsidR="000418F2">
        <w:rPr>
          <w:rFonts w:ascii="Times New Roman" w:eastAsia="Times New Roman" w:hAnsi="Times New Roman" w:cs="Times New Roman"/>
          <w:sz w:val="24"/>
          <w:szCs w:val="24"/>
          <w:lang w:val="en-US"/>
        </w:rPr>
        <w:t>.</w:t>
      </w:r>
      <w:r w:rsidR="000418F2">
        <w:rPr>
          <w:rStyle w:val="FootnoteReference"/>
          <w:rFonts w:ascii="Times New Roman" w:eastAsia="Times New Roman" w:hAnsi="Times New Roman" w:cs="Times New Roman"/>
          <w:sz w:val="24"/>
          <w:szCs w:val="24"/>
          <w:lang w:val="en-US"/>
        </w:rPr>
        <w:footnoteReference w:id="27"/>
      </w:r>
      <w:r w:rsidR="000418F2">
        <w:rPr>
          <w:rFonts w:ascii="Times New Roman" w:eastAsia="Times New Roman" w:hAnsi="Times New Roman" w:cs="Times New Roman"/>
          <w:sz w:val="24"/>
          <w:szCs w:val="24"/>
          <w:lang w:val="en-US"/>
        </w:rPr>
        <w:t xml:space="preserve"> </w:t>
      </w:r>
      <w:r w:rsidR="00D36D1D">
        <w:rPr>
          <w:rFonts w:ascii="Times New Roman" w:eastAsia="Times New Roman" w:hAnsi="Times New Roman" w:cs="Times New Roman"/>
          <w:sz w:val="24"/>
          <w:szCs w:val="24"/>
          <w:lang w:val="en-US"/>
        </w:rPr>
        <w:t xml:space="preserve">Jeremy </w:t>
      </w:r>
      <w:r w:rsidRPr="00314F90">
        <w:rPr>
          <w:rFonts w:ascii="Times New Roman" w:eastAsia="Times New Roman" w:hAnsi="Times New Roman" w:cs="Times New Roman"/>
          <w:sz w:val="24"/>
          <w:szCs w:val="24"/>
          <w:lang w:val="en-US"/>
        </w:rPr>
        <w:t xml:space="preserve">Bentham’s infamous architectural design for a prison, the </w:t>
      </w:r>
      <w:r w:rsidRPr="00314F90">
        <w:rPr>
          <w:rFonts w:ascii="Times New Roman" w:eastAsia="Times New Roman" w:hAnsi="Times New Roman" w:cs="Times New Roman"/>
          <w:i/>
          <w:iCs/>
          <w:sz w:val="24"/>
          <w:szCs w:val="24"/>
          <w:lang w:val="en-US"/>
        </w:rPr>
        <w:t>Panopticon</w:t>
      </w:r>
      <w:r w:rsidRPr="00314F90">
        <w:rPr>
          <w:rFonts w:ascii="Times New Roman" w:eastAsia="Times New Roman" w:hAnsi="Times New Roman" w:cs="Times New Roman"/>
          <w:sz w:val="24"/>
          <w:szCs w:val="24"/>
          <w:lang w:val="en-US"/>
        </w:rPr>
        <w:t xml:space="preserve">, offers </w:t>
      </w:r>
      <w:r w:rsidR="0004076F">
        <w:rPr>
          <w:rFonts w:ascii="Times New Roman" w:eastAsia="Times New Roman" w:hAnsi="Times New Roman" w:cs="Times New Roman"/>
          <w:sz w:val="24"/>
          <w:szCs w:val="24"/>
          <w:lang w:val="en-US"/>
        </w:rPr>
        <w:t xml:space="preserve">a </w:t>
      </w:r>
      <w:r w:rsidRPr="00314F90">
        <w:rPr>
          <w:rFonts w:ascii="Times New Roman" w:eastAsia="Times New Roman" w:hAnsi="Times New Roman" w:cs="Times New Roman"/>
          <w:sz w:val="24"/>
          <w:szCs w:val="24"/>
          <w:lang w:val="en-US"/>
        </w:rPr>
        <w:t>striking illustration of the transition from the visible and terrifying Sovereign power to the more subtle and dispersed Disciplinary power</w:t>
      </w:r>
      <w:r w:rsidR="000418F2">
        <w:rPr>
          <w:rStyle w:val="FootnoteReference"/>
          <w:rFonts w:ascii="Times New Roman" w:eastAsia="Times New Roman" w:hAnsi="Times New Roman" w:cs="Times New Roman"/>
          <w:sz w:val="24"/>
          <w:szCs w:val="24"/>
          <w:lang w:val="en-US"/>
        </w:rPr>
        <w:footnoteReference w:id="28"/>
      </w:r>
      <w:r w:rsidRPr="00314F90">
        <w:rPr>
          <w:rFonts w:ascii="Times New Roman" w:eastAsia="Times New Roman" w:hAnsi="Times New Roman" w:cs="Times New Roman"/>
          <w:sz w:val="24"/>
          <w:szCs w:val="24"/>
          <w:lang w:val="en-US"/>
        </w:rPr>
        <w:t>.</w:t>
      </w:r>
    </w:p>
    <w:p w14:paraId="00000028" w14:textId="57FE7D59" w:rsidR="00CC5992" w:rsidRPr="00314F90" w:rsidRDefault="00000000">
      <w:pPr>
        <w:spacing w:before="240" w:after="240" w:line="360" w:lineRule="auto"/>
        <w:rPr>
          <w:rFonts w:ascii="Times New Roman" w:eastAsia="Times New Roman" w:hAnsi="Times New Roman" w:cs="Times New Roman"/>
          <w:sz w:val="24"/>
          <w:szCs w:val="24"/>
          <w:lang w:val="en-US"/>
        </w:rPr>
      </w:pPr>
      <w:r w:rsidRPr="00314F90">
        <w:rPr>
          <w:rFonts w:ascii="Times New Roman" w:eastAsia="Times New Roman" w:hAnsi="Times New Roman" w:cs="Times New Roman"/>
          <w:sz w:val="24"/>
          <w:szCs w:val="24"/>
          <w:lang w:val="en-US"/>
        </w:rPr>
        <w:t xml:space="preserve">Crucially, Foucault argues that the modern state did not </w:t>
      </w:r>
      <w:r w:rsidRPr="00314F90">
        <w:rPr>
          <w:rFonts w:ascii="Times New Roman" w:eastAsia="Times New Roman" w:hAnsi="Times New Roman" w:cs="Times New Roman"/>
          <w:i/>
          <w:iCs/>
          <w:sz w:val="24"/>
          <w:szCs w:val="24"/>
          <w:lang w:val="en-US"/>
        </w:rPr>
        <w:t>invent</w:t>
      </w:r>
      <w:r w:rsidRPr="00314F90">
        <w:rPr>
          <w:rFonts w:ascii="Times New Roman" w:eastAsia="Times New Roman" w:hAnsi="Times New Roman" w:cs="Times New Roman"/>
          <w:sz w:val="24"/>
          <w:szCs w:val="24"/>
          <w:lang w:val="en-US"/>
        </w:rPr>
        <w:t xml:space="preserve"> these disciplinary mechanisms; rather, it was “</w:t>
      </w:r>
      <w:proofErr w:type="spellStart"/>
      <w:r w:rsidRPr="00314F90">
        <w:rPr>
          <w:rFonts w:ascii="Times New Roman" w:eastAsia="Times New Roman" w:hAnsi="Times New Roman" w:cs="Times New Roman"/>
          <w:sz w:val="24"/>
          <w:szCs w:val="24"/>
          <w:lang w:val="en-US"/>
        </w:rPr>
        <w:t>governmentalised</w:t>
      </w:r>
      <w:proofErr w:type="spellEnd"/>
      <w:r w:rsidRPr="00314F90">
        <w:rPr>
          <w:rFonts w:ascii="Times New Roman" w:eastAsia="Times New Roman" w:hAnsi="Times New Roman" w:cs="Times New Roman"/>
          <w:sz w:val="24"/>
          <w:szCs w:val="24"/>
          <w:lang w:val="en-US"/>
        </w:rPr>
        <w:t xml:space="preserve">” by them. The state was gradually penetrated </w:t>
      </w:r>
      <w:r w:rsidRPr="00314F90">
        <w:rPr>
          <w:rFonts w:ascii="Times New Roman" w:eastAsia="Times New Roman" w:hAnsi="Times New Roman" w:cs="Times New Roman"/>
          <w:sz w:val="24"/>
          <w:szCs w:val="24"/>
          <w:lang w:val="en-US"/>
        </w:rPr>
        <w:lastRenderedPageBreak/>
        <w:t>by these micro-powers, transforming from a medieval “State of Justice” dealing in laws to a modern “Administrative State” dealing in norms and regulations</w:t>
      </w:r>
      <w:r w:rsidR="004C006C">
        <w:rPr>
          <w:rFonts w:ascii="Times New Roman" w:eastAsia="Times New Roman" w:hAnsi="Times New Roman" w:cs="Times New Roman"/>
          <w:sz w:val="24"/>
          <w:szCs w:val="24"/>
          <w:lang w:val="en-US"/>
        </w:rPr>
        <w:t>.</w:t>
      </w:r>
      <w:r w:rsidR="004C006C">
        <w:rPr>
          <w:rStyle w:val="FootnoteReference"/>
          <w:rFonts w:ascii="Times New Roman" w:eastAsia="Times New Roman" w:hAnsi="Times New Roman" w:cs="Times New Roman"/>
          <w:sz w:val="24"/>
          <w:szCs w:val="24"/>
          <w:lang w:val="en-US"/>
        </w:rPr>
        <w:footnoteReference w:id="29"/>
      </w:r>
      <w:r w:rsidR="004C006C">
        <w:rPr>
          <w:rFonts w:ascii="Times New Roman" w:eastAsia="Times New Roman" w:hAnsi="Times New Roman" w:cs="Times New Roman"/>
          <w:sz w:val="24"/>
          <w:szCs w:val="24"/>
          <w:lang w:val="en-US"/>
        </w:rPr>
        <w:t xml:space="preserve"> </w:t>
      </w:r>
      <w:r w:rsidR="00B43BE4" w:rsidRPr="00B43BE4">
        <w:rPr>
          <w:rFonts w:ascii="Times New Roman" w:eastAsia="Times New Roman" w:hAnsi="Times New Roman" w:cs="Times New Roman"/>
          <w:sz w:val="24"/>
          <w:szCs w:val="24"/>
          <w:lang w:val="en-US"/>
        </w:rPr>
        <w:t xml:space="preserve">While older sovereign states certainly </w:t>
      </w:r>
      <w:r w:rsidR="0057071B">
        <w:rPr>
          <w:rFonts w:ascii="Times New Roman" w:eastAsia="Times New Roman" w:hAnsi="Times New Roman" w:cs="Times New Roman"/>
          <w:sz w:val="24"/>
          <w:szCs w:val="24"/>
          <w:lang w:val="en-US"/>
        </w:rPr>
        <w:t>employed</w:t>
      </w:r>
      <w:r w:rsidR="00B43BE4" w:rsidRPr="00B43BE4">
        <w:rPr>
          <w:rFonts w:ascii="Times New Roman" w:eastAsia="Times New Roman" w:hAnsi="Times New Roman" w:cs="Times New Roman"/>
          <w:sz w:val="24"/>
          <w:szCs w:val="24"/>
          <w:lang w:val="en-US"/>
        </w:rPr>
        <w:t xml:space="preserve"> administrative techniques, </w:t>
      </w:r>
      <w:proofErr w:type="spellStart"/>
      <w:r w:rsidR="00B43BE4">
        <w:rPr>
          <w:rFonts w:ascii="Times New Roman" w:eastAsia="Times New Roman" w:hAnsi="Times New Roman" w:cs="Times New Roman"/>
          <w:sz w:val="24"/>
          <w:szCs w:val="24"/>
          <w:lang w:val="en-US"/>
        </w:rPr>
        <w:t>governmentalisation</w:t>
      </w:r>
      <w:proofErr w:type="spellEnd"/>
      <w:r w:rsidR="00B43BE4">
        <w:rPr>
          <w:rFonts w:ascii="Times New Roman" w:eastAsia="Times New Roman" w:hAnsi="Times New Roman" w:cs="Times New Roman"/>
          <w:sz w:val="24"/>
          <w:szCs w:val="24"/>
          <w:lang w:val="en-US"/>
        </w:rPr>
        <w:t xml:space="preserve"> </w:t>
      </w:r>
      <w:r w:rsidR="00B43BE4" w:rsidRPr="00B43BE4">
        <w:rPr>
          <w:rFonts w:ascii="Times New Roman" w:eastAsia="Times New Roman" w:hAnsi="Times New Roman" w:cs="Times New Roman"/>
          <w:sz w:val="24"/>
          <w:szCs w:val="24"/>
          <w:lang w:val="en-US"/>
        </w:rPr>
        <w:t>is the defining historical hallmark of the modern er</w:t>
      </w:r>
      <w:r w:rsidR="00B43BE4">
        <w:rPr>
          <w:rFonts w:ascii="Times New Roman" w:eastAsia="Times New Roman" w:hAnsi="Times New Roman" w:cs="Times New Roman"/>
          <w:sz w:val="24"/>
          <w:szCs w:val="24"/>
          <w:lang w:val="en-US"/>
        </w:rPr>
        <w:t xml:space="preserve">a. </w:t>
      </w:r>
      <w:r w:rsidRPr="00314F90">
        <w:rPr>
          <w:rFonts w:ascii="Times New Roman" w:eastAsia="Times New Roman" w:hAnsi="Times New Roman" w:cs="Times New Roman"/>
          <w:sz w:val="24"/>
          <w:szCs w:val="24"/>
          <w:lang w:val="en-US"/>
        </w:rPr>
        <w:t xml:space="preserve">This creates a specific critique of traditional conceptions of the state. One cannot topple the power of the state simply by seizing the central apparatus, because the power that sustains the state is already reproduced in the classroom, the clinic, and the factory floor. Questioning the state must proceed by questioning these sites of micro-power that give it shape. </w:t>
      </w:r>
    </w:p>
    <w:p w14:paraId="00000029" w14:textId="6484EBA5" w:rsidR="00CC5992" w:rsidRPr="00314F90" w:rsidRDefault="00000000">
      <w:pPr>
        <w:spacing w:before="240" w:after="240" w:line="360" w:lineRule="auto"/>
        <w:rPr>
          <w:rFonts w:ascii="Times New Roman" w:eastAsia="Times New Roman" w:hAnsi="Times New Roman" w:cs="Times New Roman"/>
          <w:sz w:val="24"/>
          <w:szCs w:val="24"/>
          <w:lang w:val="en-US"/>
        </w:rPr>
      </w:pPr>
      <w:r w:rsidRPr="00314F90">
        <w:rPr>
          <w:rFonts w:ascii="Times New Roman" w:eastAsia="Times New Roman" w:hAnsi="Times New Roman" w:cs="Times New Roman"/>
          <w:sz w:val="24"/>
          <w:szCs w:val="24"/>
          <w:lang w:val="en-US"/>
        </w:rPr>
        <w:t xml:space="preserve">This also underpins Foucault’s </w:t>
      </w:r>
      <w:proofErr w:type="spellStart"/>
      <w:r w:rsidRPr="00314F90">
        <w:rPr>
          <w:rFonts w:ascii="Times New Roman" w:eastAsia="Times New Roman" w:hAnsi="Times New Roman" w:cs="Times New Roman"/>
          <w:sz w:val="24"/>
          <w:szCs w:val="24"/>
          <w:lang w:val="en-US"/>
        </w:rPr>
        <w:t>scepticism</w:t>
      </w:r>
      <w:proofErr w:type="spellEnd"/>
      <w:r w:rsidRPr="00314F90">
        <w:rPr>
          <w:rFonts w:ascii="Times New Roman" w:eastAsia="Times New Roman" w:hAnsi="Times New Roman" w:cs="Times New Roman"/>
          <w:sz w:val="24"/>
          <w:szCs w:val="24"/>
          <w:lang w:val="en-US"/>
        </w:rPr>
        <w:t xml:space="preserve"> toward revolutionary projects that seize state power while leaving disciplinary and governmental mechanisms intact. What matters less is who holds sovereignty than how power is exercised through institutions, expertise, and norms—hence his emphasis on </w:t>
      </w:r>
      <w:proofErr w:type="spellStart"/>
      <w:r w:rsidRPr="00314F90">
        <w:rPr>
          <w:rFonts w:ascii="Times New Roman" w:eastAsia="Times New Roman" w:hAnsi="Times New Roman" w:cs="Times New Roman"/>
          <w:sz w:val="24"/>
          <w:szCs w:val="24"/>
          <w:lang w:val="en-US"/>
        </w:rPr>
        <w:t>localised</w:t>
      </w:r>
      <w:proofErr w:type="spellEnd"/>
      <w:r w:rsidRPr="00314F90">
        <w:rPr>
          <w:rFonts w:ascii="Times New Roman" w:eastAsia="Times New Roman" w:hAnsi="Times New Roman" w:cs="Times New Roman"/>
          <w:sz w:val="24"/>
          <w:szCs w:val="24"/>
          <w:lang w:val="en-US"/>
        </w:rPr>
        <w:t xml:space="preserve"> critique and “counter-conduct” rather than a single </w:t>
      </w:r>
      <w:proofErr w:type="spellStart"/>
      <w:r w:rsidRPr="00314F90">
        <w:rPr>
          <w:rFonts w:ascii="Times New Roman" w:eastAsia="Times New Roman" w:hAnsi="Times New Roman" w:cs="Times New Roman"/>
          <w:sz w:val="24"/>
          <w:szCs w:val="24"/>
          <w:lang w:val="en-US"/>
        </w:rPr>
        <w:t>totalising</w:t>
      </w:r>
      <w:proofErr w:type="spellEnd"/>
      <w:r w:rsidRPr="00314F90">
        <w:rPr>
          <w:rFonts w:ascii="Times New Roman" w:eastAsia="Times New Roman" w:hAnsi="Times New Roman" w:cs="Times New Roman"/>
          <w:sz w:val="24"/>
          <w:szCs w:val="24"/>
          <w:lang w:val="en-US"/>
        </w:rPr>
        <w:t xml:space="preserve"> revolution.</w:t>
      </w:r>
      <w:r w:rsidR="004C006C">
        <w:rPr>
          <w:rStyle w:val="FootnoteReference"/>
          <w:rFonts w:ascii="Times New Roman" w:eastAsia="Times New Roman" w:hAnsi="Times New Roman" w:cs="Times New Roman"/>
          <w:sz w:val="24"/>
          <w:szCs w:val="24"/>
          <w:lang w:val="en-US"/>
        </w:rPr>
        <w:footnoteReference w:id="30"/>
      </w:r>
      <w:r w:rsidRPr="00314F90">
        <w:rPr>
          <w:rFonts w:ascii="Times New Roman" w:eastAsia="Times New Roman" w:hAnsi="Times New Roman" w:cs="Times New Roman"/>
          <w:sz w:val="24"/>
          <w:szCs w:val="24"/>
          <w:lang w:val="en-US"/>
        </w:rPr>
        <w:t xml:space="preserve"> This criticism echoes the anarchist and libertarian emancipatory strategies of </w:t>
      </w:r>
      <w:proofErr w:type="spellStart"/>
      <w:r w:rsidRPr="00314F90">
        <w:rPr>
          <w:rFonts w:ascii="Times New Roman" w:eastAsia="Times New Roman" w:hAnsi="Times New Roman" w:cs="Times New Roman"/>
          <w:sz w:val="24"/>
          <w:szCs w:val="24"/>
          <w:lang w:val="en-US"/>
        </w:rPr>
        <w:t>utilising</w:t>
      </w:r>
      <w:proofErr w:type="spellEnd"/>
      <w:r w:rsidRPr="00314F90">
        <w:rPr>
          <w:rFonts w:ascii="Times New Roman" w:eastAsia="Times New Roman" w:hAnsi="Times New Roman" w:cs="Times New Roman"/>
          <w:sz w:val="24"/>
          <w:szCs w:val="24"/>
          <w:lang w:val="en-US"/>
        </w:rPr>
        <w:t xml:space="preserve"> “interstitial” spaces of prefigurative, bottom-up resistance.</w:t>
      </w:r>
      <w:r w:rsidR="004C006C">
        <w:rPr>
          <w:rStyle w:val="FootnoteReference"/>
          <w:rFonts w:ascii="Times New Roman" w:eastAsia="Times New Roman" w:hAnsi="Times New Roman" w:cs="Times New Roman"/>
          <w:sz w:val="24"/>
          <w:szCs w:val="24"/>
          <w:lang w:val="en-US"/>
        </w:rPr>
        <w:footnoteReference w:id="31"/>
      </w:r>
    </w:p>
    <w:p w14:paraId="0000002A" w14:textId="6AAE30BC" w:rsidR="00CC5992" w:rsidRPr="00314F90" w:rsidRDefault="00000000">
      <w:pPr>
        <w:spacing w:before="240" w:after="240" w:line="360" w:lineRule="auto"/>
        <w:rPr>
          <w:rFonts w:ascii="Times New Roman" w:eastAsia="Times New Roman" w:hAnsi="Times New Roman" w:cs="Times New Roman"/>
          <w:sz w:val="24"/>
          <w:szCs w:val="24"/>
          <w:lang w:val="en-US"/>
        </w:rPr>
      </w:pPr>
      <w:r w:rsidRPr="00314F90">
        <w:rPr>
          <w:rFonts w:ascii="Times New Roman" w:eastAsia="Times New Roman" w:hAnsi="Times New Roman" w:cs="Times New Roman"/>
          <w:sz w:val="24"/>
          <w:szCs w:val="24"/>
          <w:lang w:val="en-US"/>
        </w:rPr>
        <w:t xml:space="preserve">Both the </w:t>
      </w:r>
      <w:r w:rsidRPr="00314F90">
        <w:rPr>
          <w:rFonts w:ascii="Times New Roman" w:eastAsia="Times New Roman" w:hAnsi="Times New Roman" w:cs="Times New Roman"/>
          <w:i/>
          <w:iCs/>
          <w:sz w:val="24"/>
          <w:szCs w:val="24"/>
          <w:lang w:val="en-US"/>
        </w:rPr>
        <w:t xml:space="preserve">production </w:t>
      </w:r>
      <w:r w:rsidRPr="00314F90">
        <w:rPr>
          <w:rFonts w:ascii="Times New Roman" w:eastAsia="Times New Roman" w:hAnsi="Times New Roman" w:cs="Times New Roman"/>
          <w:sz w:val="24"/>
          <w:szCs w:val="24"/>
          <w:lang w:val="en-US"/>
        </w:rPr>
        <w:t>and</w:t>
      </w:r>
      <w:r w:rsidRPr="00314F90">
        <w:rPr>
          <w:rFonts w:ascii="Times New Roman" w:eastAsia="Times New Roman" w:hAnsi="Times New Roman" w:cs="Times New Roman"/>
          <w:i/>
          <w:iCs/>
          <w:sz w:val="24"/>
          <w:szCs w:val="24"/>
          <w:lang w:val="en-US"/>
        </w:rPr>
        <w:t xml:space="preserve"> </w:t>
      </w:r>
      <w:r w:rsidRPr="00314F90">
        <w:rPr>
          <w:rFonts w:ascii="Times New Roman" w:eastAsia="Times New Roman" w:hAnsi="Times New Roman" w:cs="Times New Roman"/>
          <w:sz w:val="24"/>
          <w:szCs w:val="24"/>
          <w:lang w:val="en-US"/>
        </w:rPr>
        <w:t xml:space="preserve">the </w:t>
      </w:r>
      <w:r w:rsidRPr="00314F90">
        <w:rPr>
          <w:rFonts w:ascii="Times New Roman" w:eastAsia="Times New Roman" w:hAnsi="Times New Roman" w:cs="Times New Roman"/>
          <w:i/>
          <w:iCs/>
          <w:sz w:val="24"/>
          <w:szCs w:val="24"/>
          <w:lang w:val="en-US"/>
        </w:rPr>
        <w:t xml:space="preserve">questioning </w:t>
      </w:r>
      <w:r w:rsidRPr="00314F90">
        <w:rPr>
          <w:rFonts w:ascii="Times New Roman" w:eastAsia="Times New Roman" w:hAnsi="Times New Roman" w:cs="Times New Roman"/>
          <w:sz w:val="24"/>
          <w:szCs w:val="24"/>
          <w:lang w:val="en-US"/>
        </w:rPr>
        <w:t xml:space="preserve">of state legitimacy are themselves best understood in relation to this </w:t>
      </w:r>
      <w:proofErr w:type="spellStart"/>
      <w:r w:rsidRPr="00314F90">
        <w:rPr>
          <w:rFonts w:ascii="Times New Roman" w:eastAsia="Times New Roman" w:hAnsi="Times New Roman" w:cs="Times New Roman"/>
          <w:sz w:val="24"/>
          <w:szCs w:val="24"/>
          <w:lang w:val="en-US"/>
        </w:rPr>
        <w:t>decentred</w:t>
      </w:r>
      <w:proofErr w:type="spellEnd"/>
      <w:r w:rsidRPr="00314F90">
        <w:rPr>
          <w:rFonts w:ascii="Times New Roman" w:eastAsia="Times New Roman" w:hAnsi="Times New Roman" w:cs="Times New Roman"/>
          <w:sz w:val="24"/>
          <w:szCs w:val="24"/>
          <w:lang w:val="en-US"/>
        </w:rPr>
        <w:t xml:space="preserve"> notion of power. The state does not acquire legitimacy through, say, a social contract (</w:t>
      </w:r>
      <w:r w:rsidRPr="00314F90">
        <w:rPr>
          <w:rFonts w:ascii="Times New Roman" w:eastAsia="Times New Roman" w:hAnsi="Times New Roman" w:cs="Times New Roman"/>
          <w:i/>
          <w:iCs/>
          <w:sz w:val="24"/>
          <w:szCs w:val="24"/>
          <w:lang w:val="en-US"/>
        </w:rPr>
        <w:t>Mode A</w:t>
      </w:r>
      <w:r w:rsidRPr="00314F90">
        <w:rPr>
          <w:rFonts w:ascii="Times New Roman" w:eastAsia="Times New Roman" w:hAnsi="Times New Roman" w:cs="Times New Roman"/>
          <w:sz w:val="24"/>
          <w:szCs w:val="24"/>
          <w:lang w:val="en-US"/>
        </w:rPr>
        <w:t xml:space="preserve">), but actively </w:t>
      </w:r>
      <w:r w:rsidRPr="00314F90">
        <w:rPr>
          <w:rFonts w:ascii="Times New Roman" w:eastAsia="Times New Roman" w:hAnsi="Times New Roman" w:cs="Times New Roman"/>
          <w:i/>
          <w:iCs/>
          <w:sz w:val="24"/>
          <w:szCs w:val="24"/>
          <w:lang w:val="en-US"/>
        </w:rPr>
        <w:t>generates</w:t>
      </w:r>
      <w:r w:rsidRPr="00314F90">
        <w:rPr>
          <w:rFonts w:ascii="Times New Roman" w:eastAsia="Times New Roman" w:hAnsi="Times New Roman" w:cs="Times New Roman"/>
          <w:sz w:val="24"/>
          <w:szCs w:val="24"/>
          <w:lang w:val="en-US"/>
        </w:rPr>
        <w:t xml:space="preserve"> it as a discursive and disciplinary product. It appears legitimate, to the extent that it does, precisely because it positions itself as the necessary guarantor of the mechanisms that the population has been trained to desire, such as health, education, and productivity. The ideal of the </w:t>
      </w:r>
      <w:r w:rsidRPr="00314F90">
        <w:rPr>
          <w:rFonts w:ascii="Times New Roman" w:eastAsia="Times New Roman" w:hAnsi="Times New Roman" w:cs="Times New Roman"/>
          <w:i/>
          <w:iCs/>
          <w:sz w:val="24"/>
          <w:szCs w:val="24"/>
          <w:lang w:val="en-US"/>
        </w:rPr>
        <w:t>norm</w:t>
      </w:r>
      <w:r w:rsidRPr="00314F90">
        <w:rPr>
          <w:rFonts w:ascii="Times New Roman" w:eastAsia="Times New Roman" w:hAnsi="Times New Roman" w:cs="Times New Roman"/>
          <w:sz w:val="24"/>
          <w:szCs w:val="24"/>
          <w:lang w:val="en-US"/>
        </w:rPr>
        <w:t xml:space="preserve"> surpasses the </w:t>
      </w:r>
      <w:r w:rsidRPr="00314F90">
        <w:rPr>
          <w:rFonts w:ascii="Times New Roman" w:eastAsia="Times New Roman" w:hAnsi="Times New Roman" w:cs="Times New Roman"/>
          <w:i/>
          <w:iCs/>
          <w:sz w:val="24"/>
          <w:szCs w:val="24"/>
          <w:lang w:val="en-US"/>
        </w:rPr>
        <w:t>law</w:t>
      </w:r>
      <w:r w:rsidRPr="00314F90">
        <w:rPr>
          <w:rFonts w:ascii="Times New Roman" w:eastAsia="Times New Roman" w:hAnsi="Times New Roman" w:cs="Times New Roman"/>
          <w:sz w:val="24"/>
          <w:szCs w:val="24"/>
          <w:lang w:val="en-US"/>
        </w:rPr>
        <w:t xml:space="preserve"> as the primary instrument of social cohesion</w:t>
      </w:r>
      <w:r w:rsidR="004C006C">
        <w:rPr>
          <w:rFonts w:ascii="Times New Roman" w:eastAsia="Times New Roman" w:hAnsi="Times New Roman" w:cs="Times New Roman"/>
          <w:sz w:val="24"/>
          <w:szCs w:val="24"/>
          <w:lang w:val="en-US"/>
        </w:rPr>
        <w:t>.</w:t>
      </w:r>
      <w:r w:rsidR="004C006C">
        <w:rPr>
          <w:rStyle w:val="FootnoteReference"/>
          <w:rFonts w:ascii="Times New Roman" w:eastAsia="Times New Roman" w:hAnsi="Times New Roman" w:cs="Times New Roman"/>
          <w:sz w:val="24"/>
          <w:szCs w:val="24"/>
          <w:lang w:val="en-US"/>
        </w:rPr>
        <w:footnoteReference w:id="32"/>
      </w:r>
      <w:r w:rsidR="004C006C">
        <w:rPr>
          <w:rFonts w:ascii="Times New Roman" w:eastAsia="Times New Roman" w:hAnsi="Times New Roman" w:cs="Times New Roman"/>
          <w:sz w:val="24"/>
          <w:szCs w:val="24"/>
          <w:lang w:val="en-US"/>
        </w:rPr>
        <w:t xml:space="preserve"> </w:t>
      </w:r>
      <w:r w:rsidRPr="00314F90">
        <w:rPr>
          <w:rFonts w:ascii="Times New Roman" w:eastAsia="Times New Roman" w:hAnsi="Times New Roman" w:cs="Times New Roman"/>
          <w:sz w:val="24"/>
          <w:szCs w:val="24"/>
          <w:lang w:val="en-US"/>
        </w:rPr>
        <w:t xml:space="preserve">As François Ewald </w:t>
      </w:r>
      <w:r w:rsidR="00434B36">
        <w:rPr>
          <w:rFonts w:ascii="Times New Roman" w:eastAsia="Times New Roman" w:hAnsi="Times New Roman" w:cs="Times New Roman"/>
          <w:sz w:val="24"/>
          <w:szCs w:val="24"/>
          <w:lang w:val="en-US"/>
        </w:rPr>
        <w:t>and Nancy Fraser have separately argued</w:t>
      </w:r>
      <w:r w:rsidR="00640CAF">
        <w:rPr>
          <w:rFonts w:ascii="Times New Roman" w:eastAsia="Times New Roman" w:hAnsi="Times New Roman" w:cs="Times New Roman"/>
          <w:sz w:val="24"/>
          <w:szCs w:val="24"/>
          <w:lang w:val="en-US"/>
        </w:rPr>
        <w:t xml:space="preserve"> on Foucauldian grounds</w:t>
      </w:r>
      <w:r w:rsidR="00434B36">
        <w:rPr>
          <w:rFonts w:ascii="Times New Roman" w:eastAsia="Times New Roman" w:hAnsi="Times New Roman" w:cs="Times New Roman"/>
          <w:sz w:val="24"/>
          <w:szCs w:val="24"/>
          <w:lang w:val="en-US"/>
        </w:rPr>
        <w:t>,</w:t>
      </w:r>
      <w:r w:rsidR="008E41D0">
        <w:rPr>
          <w:rFonts w:ascii="Times New Roman" w:eastAsia="Times New Roman" w:hAnsi="Times New Roman" w:cs="Times New Roman"/>
          <w:sz w:val="24"/>
          <w:szCs w:val="24"/>
          <w:lang w:val="en-US"/>
        </w:rPr>
        <w:t xml:space="preserve"> </w:t>
      </w:r>
      <w:r w:rsidRPr="00314F90">
        <w:rPr>
          <w:rFonts w:ascii="Times New Roman" w:eastAsia="Times New Roman" w:hAnsi="Times New Roman" w:cs="Times New Roman"/>
          <w:sz w:val="24"/>
          <w:szCs w:val="24"/>
          <w:lang w:val="en-US"/>
        </w:rPr>
        <w:t>this creates a “</w:t>
      </w:r>
      <w:proofErr w:type="spellStart"/>
      <w:r w:rsidRPr="00314F90">
        <w:rPr>
          <w:rFonts w:ascii="Times New Roman" w:eastAsia="Times New Roman" w:hAnsi="Times New Roman" w:cs="Times New Roman"/>
          <w:sz w:val="24"/>
          <w:szCs w:val="24"/>
          <w:lang w:val="en-US"/>
        </w:rPr>
        <w:t>normalising</w:t>
      </w:r>
      <w:proofErr w:type="spellEnd"/>
      <w:r w:rsidRPr="00314F90">
        <w:rPr>
          <w:rFonts w:ascii="Times New Roman" w:eastAsia="Times New Roman" w:hAnsi="Times New Roman" w:cs="Times New Roman"/>
          <w:sz w:val="24"/>
          <w:szCs w:val="24"/>
          <w:lang w:val="en-US"/>
        </w:rPr>
        <w:t xml:space="preserve"> society” where the state’s authority is </w:t>
      </w:r>
      <w:r w:rsidRPr="00314F90">
        <w:rPr>
          <w:rFonts w:ascii="Times New Roman" w:eastAsia="Times New Roman" w:hAnsi="Times New Roman" w:cs="Times New Roman"/>
          <w:sz w:val="24"/>
          <w:szCs w:val="24"/>
          <w:lang w:val="en-US"/>
        </w:rPr>
        <w:lastRenderedPageBreak/>
        <w:t>increasingly shielded from political contestation because it presents itself as a neutral manager of objective norms rather than a partisan wielder of violence.</w:t>
      </w:r>
      <w:r w:rsidR="004C006C">
        <w:rPr>
          <w:rStyle w:val="FootnoteReference"/>
          <w:rFonts w:ascii="Times New Roman" w:eastAsia="Times New Roman" w:hAnsi="Times New Roman" w:cs="Times New Roman"/>
          <w:sz w:val="24"/>
          <w:szCs w:val="24"/>
          <w:lang w:val="en-US"/>
        </w:rPr>
        <w:footnoteReference w:id="33"/>
      </w:r>
    </w:p>
    <w:p w14:paraId="0000002B" w14:textId="77777777" w:rsidR="00CC5992" w:rsidRPr="00314F90" w:rsidRDefault="00CC5992">
      <w:pPr>
        <w:spacing w:before="240" w:after="240" w:line="360" w:lineRule="auto"/>
        <w:rPr>
          <w:rFonts w:ascii="Times New Roman" w:eastAsia="Times New Roman" w:hAnsi="Times New Roman" w:cs="Times New Roman"/>
          <w:sz w:val="24"/>
          <w:szCs w:val="24"/>
          <w:lang w:val="en-US"/>
        </w:rPr>
      </w:pPr>
    </w:p>
    <w:p w14:paraId="0000002C" w14:textId="77777777" w:rsidR="00CC5992" w:rsidRPr="00314F90" w:rsidRDefault="00000000">
      <w:pPr>
        <w:pStyle w:val="Heading2"/>
        <w:keepNext w:val="0"/>
        <w:keepLines w:val="0"/>
        <w:numPr>
          <w:ilvl w:val="0"/>
          <w:numId w:val="2"/>
        </w:numPr>
        <w:spacing w:before="280" w:line="360" w:lineRule="auto"/>
        <w:rPr>
          <w:lang w:val="en-US"/>
        </w:rPr>
      </w:pPr>
      <w:bookmarkStart w:id="4" w:name="_zg5ygpji2iqp" w:colFirst="0" w:colLast="0"/>
      <w:bookmarkEnd w:id="4"/>
      <w:r w:rsidRPr="00314F90">
        <w:rPr>
          <w:lang w:val="en-US"/>
        </w:rPr>
        <w:t>The Return of the State: Security, Biopolitics, and Governmentality</w:t>
      </w:r>
    </w:p>
    <w:p w14:paraId="0000002D" w14:textId="3038690E" w:rsidR="00CC5992" w:rsidRPr="00314F90" w:rsidRDefault="00000000">
      <w:pPr>
        <w:spacing w:before="240" w:after="240" w:line="360" w:lineRule="auto"/>
        <w:rPr>
          <w:rFonts w:ascii="Times New Roman" w:eastAsia="Times New Roman" w:hAnsi="Times New Roman" w:cs="Times New Roman"/>
          <w:sz w:val="24"/>
          <w:szCs w:val="24"/>
          <w:lang w:val="en-US"/>
        </w:rPr>
      </w:pPr>
      <w:r w:rsidRPr="00314F90">
        <w:rPr>
          <w:rFonts w:ascii="Times New Roman" w:eastAsia="Times New Roman" w:hAnsi="Times New Roman" w:cs="Times New Roman"/>
          <w:sz w:val="24"/>
          <w:szCs w:val="24"/>
          <w:lang w:val="en-US"/>
        </w:rPr>
        <w:t xml:space="preserve">If Foucault’s analysis of disciplinary power in the mid-1970s appeared to dissolve the state into a diffuse network of micro-powers, his lectures at the </w:t>
      </w:r>
      <w:r w:rsidRPr="00314F90">
        <w:rPr>
          <w:rFonts w:ascii="Times New Roman" w:eastAsia="Times New Roman" w:hAnsi="Times New Roman" w:cs="Times New Roman"/>
          <w:i/>
          <w:iCs/>
          <w:sz w:val="24"/>
          <w:szCs w:val="24"/>
          <w:lang w:val="en-US"/>
        </w:rPr>
        <w:t>Collège de France</w:t>
      </w:r>
      <w:r w:rsidRPr="00314F90">
        <w:rPr>
          <w:rFonts w:ascii="Times New Roman" w:eastAsia="Times New Roman" w:hAnsi="Times New Roman" w:cs="Times New Roman"/>
          <w:sz w:val="24"/>
          <w:szCs w:val="24"/>
          <w:lang w:val="en-US"/>
        </w:rPr>
        <w:t xml:space="preserve"> later in the decade (especially </w:t>
      </w:r>
      <w:r w:rsidRPr="00314F90">
        <w:rPr>
          <w:rFonts w:ascii="Times New Roman" w:eastAsia="Times New Roman" w:hAnsi="Times New Roman" w:cs="Times New Roman"/>
          <w:i/>
          <w:iCs/>
          <w:sz w:val="24"/>
          <w:szCs w:val="24"/>
          <w:lang w:val="en-US"/>
        </w:rPr>
        <w:t>Security, Territory, Population</w:t>
      </w:r>
      <w:r w:rsidRPr="00314F90">
        <w:rPr>
          <w:rFonts w:ascii="Times New Roman" w:eastAsia="Times New Roman" w:hAnsi="Times New Roman" w:cs="Times New Roman"/>
          <w:sz w:val="24"/>
          <w:szCs w:val="24"/>
          <w:lang w:val="en-US"/>
        </w:rPr>
        <w:t xml:space="preserve"> and </w:t>
      </w:r>
      <w:r w:rsidRPr="00314F90">
        <w:rPr>
          <w:rFonts w:ascii="Times New Roman" w:eastAsia="Times New Roman" w:hAnsi="Times New Roman" w:cs="Times New Roman"/>
          <w:i/>
          <w:iCs/>
          <w:sz w:val="24"/>
          <w:szCs w:val="24"/>
          <w:lang w:val="en-US"/>
        </w:rPr>
        <w:t>The Birth of Biopolitics</w:t>
      </w:r>
      <w:r w:rsidRPr="00314F90">
        <w:rPr>
          <w:rFonts w:ascii="Times New Roman" w:eastAsia="Times New Roman" w:hAnsi="Times New Roman" w:cs="Times New Roman"/>
          <w:sz w:val="24"/>
          <w:szCs w:val="24"/>
          <w:lang w:val="en-US"/>
        </w:rPr>
        <w:t xml:space="preserve">) executed a decisive theoretical return towards the analysis of </w:t>
      </w:r>
      <w:r w:rsidRPr="00314F90">
        <w:rPr>
          <w:rFonts w:ascii="Times New Roman" w:eastAsia="Times New Roman" w:hAnsi="Times New Roman" w:cs="Times New Roman"/>
          <w:i/>
          <w:iCs/>
          <w:sz w:val="24"/>
          <w:szCs w:val="24"/>
          <w:lang w:val="en-US"/>
        </w:rPr>
        <w:t>governmentality</w:t>
      </w:r>
      <w:r w:rsidRPr="00314F90">
        <w:rPr>
          <w:rFonts w:ascii="Times New Roman" w:eastAsia="Times New Roman" w:hAnsi="Times New Roman" w:cs="Times New Roman"/>
          <w:sz w:val="24"/>
          <w:szCs w:val="24"/>
          <w:lang w:val="en-US"/>
        </w:rPr>
        <w:t>. Indeed, in modern statecraft, Foucault traces the convergence of three distinct modalities of power: traditional juridical power (</w:t>
      </w:r>
      <w:r w:rsidRPr="00314F90">
        <w:rPr>
          <w:rFonts w:ascii="Times New Roman" w:eastAsia="Times New Roman" w:hAnsi="Times New Roman" w:cs="Times New Roman"/>
          <w:i/>
          <w:iCs/>
          <w:sz w:val="24"/>
          <w:szCs w:val="24"/>
          <w:lang w:val="en-US"/>
        </w:rPr>
        <w:t>Sovereignty</w:t>
      </w:r>
      <w:r w:rsidRPr="00314F90">
        <w:rPr>
          <w:rFonts w:ascii="Times New Roman" w:eastAsia="Times New Roman" w:hAnsi="Times New Roman" w:cs="Times New Roman"/>
          <w:sz w:val="24"/>
          <w:szCs w:val="24"/>
          <w:lang w:val="en-US"/>
        </w:rPr>
        <w:t>), new “capillary” forms of micro-power (</w:t>
      </w:r>
      <w:r w:rsidRPr="00314F90">
        <w:rPr>
          <w:rFonts w:ascii="Times New Roman" w:eastAsia="Times New Roman" w:hAnsi="Times New Roman" w:cs="Times New Roman"/>
          <w:i/>
          <w:iCs/>
          <w:sz w:val="24"/>
          <w:szCs w:val="24"/>
          <w:lang w:val="en-US"/>
        </w:rPr>
        <w:t>Discipline</w:t>
      </w:r>
      <w:r w:rsidRPr="00314F90">
        <w:rPr>
          <w:rFonts w:ascii="Times New Roman" w:eastAsia="Times New Roman" w:hAnsi="Times New Roman" w:cs="Times New Roman"/>
          <w:sz w:val="24"/>
          <w:szCs w:val="24"/>
          <w:lang w:val="en-US"/>
        </w:rPr>
        <w:t>), and modern techniques of population-level government (</w:t>
      </w:r>
      <w:r w:rsidRPr="00314F90">
        <w:rPr>
          <w:rFonts w:ascii="Times New Roman" w:eastAsia="Times New Roman" w:hAnsi="Times New Roman" w:cs="Times New Roman"/>
          <w:i/>
          <w:iCs/>
          <w:sz w:val="24"/>
          <w:szCs w:val="24"/>
          <w:lang w:val="en-US"/>
        </w:rPr>
        <w:t>Security/Biopolitics</w:t>
      </w:r>
      <w:r w:rsidRPr="00314F90">
        <w:rPr>
          <w:rFonts w:ascii="Times New Roman" w:eastAsia="Times New Roman" w:hAnsi="Times New Roman" w:cs="Times New Roman"/>
          <w:sz w:val="24"/>
          <w:szCs w:val="24"/>
          <w:lang w:val="en-US"/>
        </w:rPr>
        <w:t>). Although Foucault uses “governmentality” to name the broader ensemble of techniques for governing, I use the term more narrowly here to refer to the specific state rationality of Security/Biopolitics</w:t>
      </w:r>
      <w:r w:rsidR="004C006C">
        <w:rPr>
          <w:rFonts w:ascii="Times New Roman" w:eastAsia="Times New Roman" w:hAnsi="Times New Roman" w:cs="Times New Roman"/>
          <w:sz w:val="24"/>
          <w:szCs w:val="24"/>
          <w:lang w:val="en-US"/>
        </w:rPr>
        <w:t>.</w:t>
      </w:r>
      <w:r w:rsidR="004C006C">
        <w:rPr>
          <w:rStyle w:val="FootnoteReference"/>
          <w:rFonts w:ascii="Times New Roman" w:eastAsia="Times New Roman" w:hAnsi="Times New Roman" w:cs="Times New Roman"/>
          <w:sz w:val="24"/>
          <w:szCs w:val="24"/>
          <w:lang w:val="en-US"/>
        </w:rPr>
        <w:footnoteReference w:id="34"/>
      </w:r>
    </w:p>
    <w:p w14:paraId="0000002E" w14:textId="11653B13" w:rsidR="00CC5992" w:rsidRPr="00314F90" w:rsidRDefault="00000000">
      <w:pPr>
        <w:spacing w:before="240" w:after="240" w:line="360" w:lineRule="auto"/>
        <w:rPr>
          <w:rFonts w:ascii="Times New Roman" w:eastAsia="Times New Roman" w:hAnsi="Times New Roman" w:cs="Times New Roman"/>
          <w:sz w:val="24"/>
          <w:szCs w:val="24"/>
          <w:lang w:val="en-US"/>
        </w:rPr>
      </w:pPr>
      <w:r w:rsidRPr="00314F90">
        <w:rPr>
          <w:rFonts w:ascii="Times New Roman" w:eastAsia="Times New Roman" w:hAnsi="Times New Roman" w:cs="Times New Roman"/>
          <w:sz w:val="24"/>
          <w:szCs w:val="24"/>
          <w:lang w:val="en-US"/>
        </w:rPr>
        <w:t xml:space="preserve">Foucault identifies </w:t>
      </w:r>
      <w:r w:rsidRPr="00314F90">
        <w:rPr>
          <w:rFonts w:ascii="Times New Roman" w:eastAsia="Times New Roman" w:hAnsi="Times New Roman" w:cs="Times New Roman"/>
          <w:i/>
          <w:iCs/>
          <w:sz w:val="24"/>
          <w:szCs w:val="24"/>
          <w:lang w:val="en-US"/>
        </w:rPr>
        <w:t>pastoral power</w:t>
      </w:r>
      <w:r w:rsidRPr="00314F90">
        <w:rPr>
          <w:rFonts w:ascii="Times New Roman" w:eastAsia="Times New Roman" w:hAnsi="Times New Roman" w:cs="Times New Roman"/>
          <w:sz w:val="24"/>
          <w:szCs w:val="24"/>
          <w:lang w:val="en-US"/>
        </w:rPr>
        <w:t xml:space="preserve"> as the “prelude to governmentality.”</w:t>
      </w:r>
      <w:r w:rsidR="004C006C">
        <w:rPr>
          <w:rStyle w:val="FootnoteReference"/>
          <w:rFonts w:ascii="Times New Roman" w:eastAsia="Times New Roman" w:hAnsi="Times New Roman" w:cs="Times New Roman"/>
          <w:sz w:val="24"/>
          <w:szCs w:val="24"/>
          <w:lang w:val="en-US"/>
        </w:rPr>
        <w:footnoteReference w:id="35"/>
      </w:r>
      <w:r w:rsidRPr="00314F90">
        <w:rPr>
          <w:rFonts w:ascii="Times New Roman" w:eastAsia="Times New Roman" w:hAnsi="Times New Roman" w:cs="Times New Roman"/>
          <w:sz w:val="24"/>
          <w:szCs w:val="24"/>
          <w:lang w:val="en-US"/>
        </w:rPr>
        <w:t xml:space="preserve"> Just like the shepherd exerts power over its “flock,” the pastoral state demands responsibility over the bodies and souls of </w:t>
      </w:r>
      <w:r w:rsidRPr="00314F90">
        <w:rPr>
          <w:rFonts w:ascii="Times New Roman" w:eastAsia="Times New Roman" w:hAnsi="Times New Roman" w:cs="Times New Roman"/>
          <w:i/>
          <w:iCs/>
          <w:sz w:val="24"/>
          <w:szCs w:val="24"/>
          <w:lang w:val="en-US"/>
        </w:rPr>
        <w:t xml:space="preserve">omnes et </w:t>
      </w:r>
      <w:proofErr w:type="spellStart"/>
      <w:r w:rsidRPr="00314F90">
        <w:rPr>
          <w:rFonts w:ascii="Times New Roman" w:eastAsia="Times New Roman" w:hAnsi="Times New Roman" w:cs="Times New Roman"/>
          <w:i/>
          <w:iCs/>
          <w:sz w:val="24"/>
          <w:szCs w:val="24"/>
          <w:lang w:val="en-US"/>
        </w:rPr>
        <w:t>singulatim</w:t>
      </w:r>
      <w:proofErr w:type="spellEnd"/>
      <w:r w:rsidRPr="00314F90">
        <w:rPr>
          <w:rFonts w:ascii="Times New Roman" w:eastAsia="Times New Roman" w:hAnsi="Times New Roman" w:cs="Times New Roman"/>
          <w:sz w:val="24"/>
          <w:szCs w:val="24"/>
          <w:lang w:val="en-US"/>
        </w:rPr>
        <w:t>, “all and each</w:t>
      </w:r>
      <w:r w:rsidR="00034C9A">
        <w:rPr>
          <w:rFonts w:ascii="Times New Roman" w:eastAsia="Times New Roman" w:hAnsi="Times New Roman" w:cs="Times New Roman"/>
          <w:sz w:val="24"/>
          <w:szCs w:val="24"/>
          <w:lang w:val="en-US"/>
        </w:rPr>
        <w:t>”</w:t>
      </w:r>
      <w:r w:rsidRPr="00314F90">
        <w:rPr>
          <w:rFonts w:ascii="Times New Roman" w:eastAsia="Times New Roman" w:hAnsi="Times New Roman" w:cs="Times New Roman"/>
          <w:sz w:val="24"/>
          <w:szCs w:val="24"/>
          <w:lang w:val="en-US"/>
        </w:rPr>
        <w:t xml:space="preserve"> individual.</w:t>
      </w:r>
      <w:r w:rsidR="004C006C">
        <w:rPr>
          <w:rStyle w:val="FootnoteReference"/>
          <w:rFonts w:ascii="Times New Roman" w:eastAsia="Times New Roman" w:hAnsi="Times New Roman" w:cs="Times New Roman"/>
          <w:sz w:val="24"/>
          <w:szCs w:val="24"/>
          <w:lang w:val="en-US"/>
        </w:rPr>
        <w:footnoteReference w:id="36"/>
      </w:r>
      <w:r w:rsidRPr="00314F90">
        <w:rPr>
          <w:rFonts w:ascii="Times New Roman" w:eastAsia="Times New Roman" w:hAnsi="Times New Roman" w:cs="Times New Roman"/>
          <w:sz w:val="24"/>
          <w:szCs w:val="24"/>
          <w:lang w:val="en-US"/>
        </w:rPr>
        <w:t xml:space="preserve"> Foucault argues that the modern state was born when this ecclesiastical technique of the “salvation of the soul” was translated into the secular language of the “safety of the population</w:t>
      </w:r>
      <w:r w:rsidR="004C006C">
        <w:rPr>
          <w:rFonts w:ascii="Times New Roman" w:eastAsia="Times New Roman" w:hAnsi="Times New Roman" w:cs="Times New Roman"/>
          <w:sz w:val="24"/>
          <w:szCs w:val="24"/>
          <w:lang w:val="en-US"/>
        </w:rPr>
        <w:t>.”</w:t>
      </w:r>
      <w:r w:rsidR="004C006C">
        <w:rPr>
          <w:rStyle w:val="FootnoteReference"/>
          <w:rFonts w:ascii="Times New Roman" w:eastAsia="Times New Roman" w:hAnsi="Times New Roman" w:cs="Times New Roman"/>
          <w:sz w:val="24"/>
          <w:szCs w:val="24"/>
          <w:lang w:val="en-US"/>
        </w:rPr>
        <w:footnoteReference w:id="37"/>
      </w:r>
      <w:r w:rsidRPr="00314F90">
        <w:rPr>
          <w:rFonts w:ascii="Times New Roman" w:eastAsia="Times New Roman" w:hAnsi="Times New Roman" w:cs="Times New Roman"/>
          <w:sz w:val="24"/>
          <w:szCs w:val="24"/>
          <w:lang w:val="en-US"/>
        </w:rPr>
        <w:t xml:space="preserve"> This transition marks the birth of </w:t>
      </w:r>
      <w:r w:rsidRPr="00314F90">
        <w:rPr>
          <w:rFonts w:ascii="Times New Roman" w:eastAsia="Times New Roman" w:hAnsi="Times New Roman" w:cs="Times New Roman"/>
          <w:i/>
          <w:iCs/>
          <w:sz w:val="24"/>
          <w:szCs w:val="24"/>
          <w:lang w:val="en-US"/>
        </w:rPr>
        <w:t>governmentality</w:t>
      </w:r>
      <w:r w:rsidRPr="00314F90">
        <w:rPr>
          <w:rFonts w:ascii="Times New Roman" w:eastAsia="Times New Roman" w:hAnsi="Times New Roman" w:cs="Times New Roman"/>
          <w:sz w:val="24"/>
          <w:szCs w:val="24"/>
          <w:lang w:val="en-US"/>
        </w:rPr>
        <w:t>: a specific rationality of government where the state justifies itself as the pastoral guardian, responsible for securing and improving the conditions of collective life</w:t>
      </w:r>
      <w:r w:rsidR="004C006C">
        <w:rPr>
          <w:rFonts w:ascii="Times New Roman" w:eastAsia="Times New Roman" w:hAnsi="Times New Roman" w:cs="Times New Roman"/>
          <w:sz w:val="24"/>
          <w:szCs w:val="24"/>
          <w:lang w:val="en-US"/>
        </w:rPr>
        <w:t>.</w:t>
      </w:r>
      <w:r w:rsidR="004C006C">
        <w:rPr>
          <w:rStyle w:val="FootnoteReference"/>
          <w:rFonts w:ascii="Times New Roman" w:eastAsia="Times New Roman" w:hAnsi="Times New Roman" w:cs="Times New Roman"/>
          <w:sz w:val="24"/>
          <w:szCs w:val="24"/>
          <w:lang w:val="en-US"/>
        </w:rPr>
        <w:footnoteReference w:id="38"/>
      </w:r>
      <w:r w:rsidR="004C006C">
        <w:rPr>
          <w:rFonts w:ascii="Times New Roman" w:eastAsia="Times New Roman" w:hAnsi="Times New Roman" w:cs="Times New Roman"/>
          <w:sz w:val="24"/>
          <w:szCs w:val="24"/>
          <w:lang w:val="en-US"/>
        </w:rPr>
        <w:t xml:space="preserve"> </w:t>
      </w:r>
      <w:r w:rsidRPr="00314F90">
        <w:rPr>
          <w:rFonts w:ascii="Times New Roman" w:eastAsia="Times New Roman" w:hAnsi="Times New Roman" w:cs="Times New Roman"/>
          <w:sz w:val="24"/>
          <w:szCs w:val="24"/>
          <w:lang w:val="en-US"/>
        </w:rPr>
        <w:t xml:space="preserve">Foucault sometimes speaks of </w:t>
      </w:r>
      <w:r w:rsidRPr="00314F90">
        <w:rPr>
          <w:rFonts w:ascii="Times New Roman" w:eastAsia="Times New Roman" w:hAnsi="Times New Roman" w:cs="Times New Roman"/>
          <w:i/>
          <w:iCs/>
          <w:sz w:val="24"/>
          <w:szCs w:val="24"/>
          <w:lang w:val="en-US"/>
        </w:rPr>
        <w:t>bien-</w:t>
      </w:r>
      <w:proofErr w:type="spellStart"/>
      <w:r w:rsidRPr="00314F90">
        <w:rPr>
          <w:rFonts w:ascii="Times New Roman" w:eastAsia="Times New Roman" w:hAnsi="Times New Roman" w:cs="Times New Roman"/>
          <w:i/>
          <w:iCs/>
          <w:sz w:val="24"/>
          <w:szCs w:val="24"/>
          <w:lang w:val="en-US"/>
        </w:rPr>
        <w:t>être</w:t>
      </w:r>
      <w:proofErr w:type="spellEnd"/>
      <w:r w:rsidRPr="00314F90">
        <w:rPr>
          <w:rFonts w:ascii="Times New Roman" w:eastAsia="Times New Roman" w:hAnsi="Times New Roman" w:cs="Times New Roman"/>
          <w:sz w:val="24"/>
          <w:szCs w:val="24"/>
          <w:lang w:val="en-US"/>
        </w:rPr>
        <w:t xml:space="preserve"> (well-being) or </w:t>
      </w:r>
      <w:proofErr w:type="spellStart"/>
      <w:r w:rsidRPr="00314F90">
        <w:rPr>
          <w:rFonts w:ascii="Times New Roman" w:eastAsia="Times New Roman" w:hAnsi="Times New Roman" w:cs="Times New Roman"/>
          <w:i/>
          <w:iCs/>
          <w:sz w:val="24"/>
          <w:szCs w:val="24"/>
          <w:lang w:val="en-US"/>
        </w:rPr>
        <w:t>félicité</w:t>
      </w:r>
      <w:proofErr w:type="spellEnd"/>
      <w:r w:rsidRPr="00314F90">
        <w:rPr>
          <w:rFonts w:ascii="Times New Roman" w:eastAsia="Times New Roman" w:hAnsi="Times New Roman" w:cs="Times New Roman"/>
          <w:sz w:val="24"/>
          <w:szCs w:val="24"/>
          <w:lang w:val="en-US"/>
        </w:rPr>
        <w:t xml:space="preserve"> (happiness) </w:t>
      </w:r>
      <w:r w:rsidRPr="00314F90">
        <w:rPr>
          <w:rFonts w:ascii="Times New Roman" w:eastAsia="Times New Roman" w:hAnsi="Times New Roman" w:cs="Times New Roman"/>
          <w:sz w:val="24"/>
          <w:szCs w:val="24"/>
          <w:lang w:val="en-US"/>
        </w:rPr>
        <w:lastRenderedPageBreak/>
        <w:t xml:space="preserve">to </w:t>
      </w:r>
      <w:proofErr w:type="spellStart"/>
      <w:r w:rsidRPr="00314F90">
        <w:rPr>
          <w:rFonts w:ascii="Times New Roman" w:eastAsia="Times New Roman" w:hAnsi="Times New Roman" w:cs="Times New Roman"/>
          <w:sz w:val="24"/>
          <w:szCs w:val="24"/>
          <w:lang w:val="en-US"/>
        </w:rPr>
        <w:t>characterise</w:t>
      </w:r>
      <w:proofErr w:type="spellEnd"/>
      <w:r w:rsidRPr="00314F90">
        <w:rPr>
          <w:rFonts w:ascii="Times New Roman" w:eastAsia="Times New Roman" w:hAnsi="Times New Roman" w:cs="Times New Roman"/>
          <w:sz w:val="24"/>
          <w:szCs w:val="24"/>
          <w:lang w:val="en-US"/>
        </w:rPr>
        <w:t xml:space="preserve"> the specific target of this new governmental reason</w:t>
      </w:r>
      <w:r w:rsidR="004C006C">
        <w:rPr>
          <w:rFonts w:ascii="Times New Roman" w:eastAsia="Times New Roman" w:hAnsi="Times New Roman" w:cs="Times New Roman"/>
          <w:sz w:val="24"/>
          <w:szCs w:val="24"/>
          <w:lang w:val="en-US"/>
        </w:rPr>
        <w:t>.</w:t>
      </w:r>
      <w:r w:rsidR="004C006C">
        <w:rPr>
          <w:rStyle w:val="FootnoteReference"/>
          <w:rFonts w:ascii="Times New Roman" w:eastAsia="Times New Roman" w:hAnsi="Times New Roman" w:cs="Times New Roman"/>
          <w:sz w:val="24"/>
          <w:szCs w:val="24"/>
          <w:lang w:val="en-US"/>
        </w:rPr>
        <w:footnoteReference w:id="39"/>
      </w:r>
      <w:r w:rsidR="004C006C">
        <w:rPr>
          <w:rFonts w:ascii="Times New Roman" w:eastAsia="Times New Roman" w:hAnsi="Times New Roman" w:cs="Times New Roman"/>
          <w:sz w:val="24"/>
          <w:szCs w:val="24"/>
          <w:lang w:val="en-US"/>
        </w:rPr>
        <w:t xml:space="preserve"> </w:t>
      </w:r>
      <w:r w:rsidRPr="00314F90">
        <w:rPr>
          <w:rFonts w:ascii="Times New Roman" w:eastAsia="Times New Roman" w:hAnsi="Times New Roman" w:cs="Times New Roman"/>
          <w:sz w:val="24"/>
          <w:szCs w:val="24"/>
          <w:lang w:val="en-US"/>
        </w:rPr>
        <w:t xml:space="preserve">Governmentality is a form of “conduct of conduct”: it governs indirectly by </w:t>
      </w:r>
      <w:r w:rsidRPr="00314F90">
        <w:rPr>
          <w:rFonts w:ascii="Times New Roman" w:eastAsia="Times New Roman" w:hAnsi="Times New Roman" w:cs="Times New Roman"/>
          <w:i/>
          <w:iCs/>
          <w:sz w:val="24"/>
          <w:szCs w:val="24"/>
          <w:lang w:val="en-US"/>
        </w:rPr>
        <w:t>arranging environments</w:t>
      </w:r>
      <w:r w:rsidRPr="00314F90">
        <w:rPr>
          <w:rFonts w:ascii="Times New Roman" w:eastAsia="Times New Roman" w:hAnsi="Times New Roman" w:cs="Times New Roman"/>
          <w:sz w:val="24"/>
          <w:szCs w:val="24"/>
          <w:lang w:val="en-US"/>
        </w:rPr>
        <w:t xml:space="preserve"> (incentives, risk) while simultaneously </w:t>
      </w:r>
      <w:r w:rsidRPr="00314F90">
        <w:rPr>
          <w:rFonts w:ascii="Times New Roman" w:eastAsia="Times New Roman" w:hAnsi="Times New Roman" w:cs="Times New Roman"/>
          <w:i/>
          <w:iCs/>
          <w:sz w:val="24"/>
          <w:szCs w:val="24"/>
          <w:lang w:val="en-US"/>
        </w:rPr>
        <w:t>shaping subjects</w:t>
      </w:r>
      <w:r w:rsidRPr="00314F90">
        <w:rPr>
          <w:rFonts w:ascii="Times New Roman" w:eastAsia="Times New Roman" w:hAnsi="Times New Roman" w:cs="Times New Roman"/>
          <w:sz w:val="24"/>
          <w:szCs w:val="24"/>
          <w:lang w:val="en-US"/>
        </w:rPr>
        <w:t xml:space="preserve"> who come to govern themselves</w:t>
      </w:r>
      <w:r w:rsidR="008D4EDD" w:rsidRPr="008D4EDD">
        <w:rPr>
          <w:rFonts w:ascii="Times New Roman" w:eastAsia="Times New Roman" w:hAnsi="Times New Roman" w:cs="Times New Roman"/>
          <w:sz w:val="24"/>
          <w:szCs w:val="24"/>
          <w:lang w:val="en-GB"/>
        </w:rPr>
        <w:t>—</w:t>
      </w:r>
      <w:r w:rsidRPr="00314F90">
        <w:rPr>
          <w:rFonts w:ascii="Times New Roman" w:eastAsia="Times New Roman" w:hAnsi="Times New Roman" w:cs="Times New Roman"/>
          <w:sz w:val="24"/>
          <w:szCs w:val="24"/>
          <w:lang w:val="en-US"/>
        </w:rPr>
        <w:t>which explains its conceptual linkage to “freedom.</w:t>
      </w:r>
      <w:r w:rsidR="004C006C">
        <w:rPr>
          <w:rFonts w:ascii="Times New Roman" w:eastAsia="Times New Roman" w:hAnsi="Times New Roman" w:cs="Times New Roman"/>
          <w:sz w:val="24"/>
          <w:szCs w:val="24"/>
          <w:lang w:val="en-US"/>
        </w:rPr>
        <w:t>”</w:t>
      </w:r>
      <w:r w:rsidR="004C006C">
        <w:rPr>
          <w:rStyle w:val="FootnoteReference"/>
          <w:rFonts w:ascii="Times New Roman" w:eastAsia="Times New Roman" w:hAnsi="Times New Roman" w:cs="Times New Roman"/>
          <w:sz w:val="24"/>
          <w:szCs w:val="24"/>
          <w:lang w:val="en-US"/>
        </w:rPr>
        <w:footnoteReference w:id="40"/>
      </w:r>
      <w:r w:rsidR="00D36D1D">
        <w:rPr>
          <w:rFonts w:ascii="Times New Roman" w:eastAsia="Times New Roman" w:hAnsi="Times New Roman" w:cs="Times New Roman"/>
          <w:sz w:val="24"/>
          <w:szCs w:val="24"/>
          <w:lang w:val="en-US"/>
        </w:rPr>
        <w:t xml:space="preserve"> </w:t>
      </w:r>
      <w:r w:rsidRPr="00314F90">
        <w:rPr>
          <w:rFonts w:ascii="Times New Roman" w:eastAsia="Times New Roman" w:hAnsi="Times New Roman" w:cs="Times New Roman"/>
          <w:sz w:val="24"/>
          <w:szCs w:val="24"/>
          <w:lang w:val="en-US"/>
        </w:rPr>
        <w:t xml:space="preserve"> </w:t>
      </w:r>
      <w:r w:rsidR="00D36D1D" w:rsidRPr="00D36D1D">
        <w:rPr>
          <w:rFonts w:ascii="Times New Roman" w:eastAsia="Times New Roman" w:hAnsi="Times New Roman" w:cs="Times New Roman"/>
          <w:sz w:val="24"/>
          <w:szCs w:val="24"/>
          <w:lang w:val="en-US"/>
        </w:rPr>
        <w:t xml:space="preserve">Because </w:t>
      </w:r>
      <w:r w:rsidR="00BD6F59">
        <w:rPr>
          <w:rFonts w:ascii="Times New Roman" w:eastAsia="Times New Roman" w:hAnsi="Times New Roman" w:cs="Times New Roman"/>
          <w:sz w:val="24"/>
          <w:szCs w:val="24"/>
          <w:lang w:val="en-US"/>
        </w:rPr>
        <w:t>governmentality</w:t>
      </w:r>
      <w:r w:rsidR="00D36D1D" w:rsidRPr="00D36D1D">
        <w:rPr>
          <w:rFonts w:ascii="Times New Roman" w:eastAsia="Times New Roman" w:hAnsi="Times New Roman" w:cs="Times New Roman"/>
          <w:sz w:val="24"/>
          <w:szCs w:val="24"/>
          <w:lang w:val="en-US"/>
        </w:rPr>
        <w:t xml:space="preserve"> relies on structuring the field of possible actions</w:t>
      </w:r>
      <w:r w:rsidR="00D36D1D">
        <w:rPr>
          <w:rFonts w:ascii="Times New Roman" w:eastAsia="Times New Roman" w:hAnsi="Times New Roman" w:cs="Times New Roman"/>
          <w:sz w:val="24"/>
          <w:szCs w:val="24"/>
          <w:lang w:val="en-US"/>
        </w:rPr>
        <w:t xml:space="preserve"> and thoughts</w:t>
      </w:r>
      <w:r w:rsidR="00D36D1D" w:rsidRPr="00D36D1D">
        <w:rPr>
          <w:rFonts w:ascii="Times New Roman" w:eastAsia="Times New Roman" w:hAnsi="Times New Roman" w:cs="Times New Roman"/>
          <w:sz w:val="24"/>
          <w:szCs w:val="24"/>
          <w:lang w:val="en-US"/>
        </w:rPr>
        <w:t xml:space="preserve"> rather than applying direct physical force, </w:t>
      </w:r>
      <w:r w:rsidR="00BD6F59">
        <w:rPr>
          <w:rFonts w:ascii="Times New Roman" w:eastAsia="Times New Roman" w:hAnsi="Times New Roman" w:cs="Times New Roman"/>
          <w:sz w:val="24"/>
          <w:szCs w:val="24"/>
          <w:lang w:val="en-US"/>
        </w:rPr>
        <w:t>it</w:t>
      </w:r>
      <w:r w:rsidR="00D36D1D" w:rsidRPr="00D36D1D">
        <w:rPr>
          <w:rFonts w:ascii="Times New Roman" w:eastAsia="Times New Roman" w:hAnsi="Times New Roman" w:cs="Times New Roman"/>
          <w:sz w:val="24"/>
          <w:szCs w:val="24"/>
          <w:lang w:val="en-US"/>
        </w:rPr>
        <w:t xml:space="preserve"> inherently presupposes the agency of the governed. Rather than simply crushing the subject's will, it shapes their sense of possibilities, responsibilities, and values</w:t>
      </w:r>
      <w:r w:rsidR="005E249A" w:rsidRPr="008D4EDD">
        <w:rPr>
          <w:rFonts w:ascii="Times New Roman" w:eastAsia="Times New Roman" w:hAnsi="Times New Roman" w:cs="Times New Roman"/>
          <w:sz w:val="24"/>
          <w:szCs w:val="24"/>
          <w:lang w:val="en-GB"/>
        </w:rPr>
        <w:t>—</w:t>
      </w:r>
      <w:r w:rsidR="005E249A" w:rsidRPr="005E249A">
        <w:rPr>
          <w:rFonts w:ascii="Times New Roman" w:eastAsia="Times New Roman" w:hAnsi="Times New Roman" w:cs="Times New Roman"/>
          <w:sz w:val="24"/>
          <w:szCs w:val="24"/>
          <w:lang w:val="en-US"/>
        </w:rPr>
        <w:t>their horizon of imagination</w:t>
      </w:r>
      <w:r w:rsidR="005E249A">
        <w:rPr>
          <w:rFonts w:ascii="Times New Roman" w:eastAsia="Times New Roman" w:hAnsi="Times New Roman" w:cs="Times New Roman"/>
          <w:sz w:val="24"/>
          <w:szCs w:val="24"/>
          <w:lang w:val="en-US"/>
        </w:rPr>
        <w:t xml:space="preserve"> and action</w:t>
      </w:r>
      <w:r w:rsidR="005E249A" w:rsidRPr="008D4EDD">
        <w:rPr>
          <w:rFonts w:ascii="Times New Roman" w:eastAsia="Times New Roman" w:hAnsi="Times New Roman" w:cs="Times New Roman"/>
          <w:sz w:val="24"/>
          <w:szCs w:val="24"/>
          <w:lang w:val="en-GB"/>
        </w:rPr>
        <w:t>—</w:t>
      </w:r>
      <w:r w:rsidR="00D36D1D" w:rsidRPr="00D36D1D">
        <w:rPr>
          <w:rFonts w:ascii="Times New Roman" w:eastAsia="Times New Roman" w:hAnsi="Times New Roman" w:cs="Times New Roman"/>
          <w:sz w:val="24"/>
          <w:szCs w:val="24"/>
          <w:lang w:val="en-US"/>
        </w:rPr>
        <w:t>in ways that</w:t>
      </w:r>
      <w:r w:rsidR="00D36D1D">
        <w:rPr>
          <w:rFonts w:ascii="Times New Roman" w:eastAsia="Times New Roman" w:hAnsi="Times New Roman" w:cs="Times New Roman"/>
          <w:sz w:val="24"/>
          <w:szCs w:val="24"/>
          <w:lang w:val="en-US"/>
        </w:rPr>
        <w:t xml:space="preserve"> </w:t>
      </w:r>
      <w:r w:rsidR="00D36D1D" w:rsidRPr="00D36D1D">
        <w:rPr>
          <w:rFonts w:ascii="Times New Roman" w:eastAsia="Times New Roman" w:hAnsi="Times New Roman" w:cs="Times New Roman"/>
          <w:sz w:val="24"/>
          <w:szCs w:val="24"/>
          <w:lang w:val="en-US"/>
        </w:rPr>
        <w:t xml:space="preserve">serve </w:t>
      </w:r>
      <w:r w:rsidR="005E249A">
        <w:rPr>
          <w:rFonts w:ascii="Times New Roman" w:eastAsia="Times New Roman" w:hAnsi="Times New Roman" w:cs="Times New Roman"/>
          <w:sz w:val="24"/>
          <w:szCs w:val="24"/>
          <w:lang w:val="en-US"/>
        </w:rPr>
        <w:t>existing techniques of power</w:t>
      </w:r>
      <w:r w:rsidR="00D36D1D">
        <w:rPr>
          <w:rFonts w:ascii="Times New Roman" w:eastAsia="Times New Roman" w:hAnsi="Times New Roman" w:cs="Times New Roman"/>
          <w:sz w:val="24"/>
          <w:szCs w:val="24"/>
          <w:lang w:val="en-US"/>
        </w:rPr>
        <w:t>.</w:t>
      </w:r>
    </w:p>
    <w:p w14:paraId="0000002F" w14:textId="05D06EB3" w:rsidR="00CC5992" w:rsidRPr="00314F90" w:rsidRDefault="00000000">
      <w:pPr>
        <w:spacing w:before="240" w:after="240" w:line="360" w:lineRule="auto"/>
        <w:rPr>
          <w:rFonts w:ascii="Times New Roman" w:eastAsia="Times New Roman" w:hAnsi="Times New Roman" w:cs="Times New Roman"/>
          <w:sz w:val="24"/>
          <w:szCs w:val="24"/>
          <w:lang w:val="en-US"/>
        </w:rPr>
      </w:pPr>
      <w:r w:rsidRPr="00314F90">
        <w:rPr>
          <w:rFonts w:ascii="Times New Roman" w:eastAsia="Times New Roman" w:hAnsi="Times New Roman" w:cs="Times New Roman"/>
          <w:sz w:val="24"/>
          <w:szCs w:val="24"/>
          <w:lang w:val="en-US"/>
        </w:rPr>
        <w:t xml:space="preserve">One major domain of governmentality is </w:t>
      </w:r>
      <w:r w:rsidRPr="00314F90">
        <w:rPr>
          <w:rFonts w:ascii="Times New Roman" w:eastAsia="Times New Roman" w:hAnsi="Times New Roman" w:cs="Times New Roman"/>
          <w:i/>
          <w:iCs/>
          <w:sz w:val="24"/>
          <w:szCs w:val="24"/>
          <w:lang w:val="en-US"/>
        </w:rPr>
        <w:t>Biopolitics,</w:t>
      </w:r>
      <w:r w:rsidRPr="00314F90">
        <w:rPr>
          <w:rFonts w:ascii="Times New Roman" w:eastAsia="Times New Roman" w:hAnsi="Times New Roman" w:cs="Times New Roman"/>
          <w:sz w:val="24"/>
          <w:szCs w:val="24"/>
          <w:lang w:val="en-US"/>
        </w:rPr>
        <w:t xml:space="preserve"> whose defining technique is</w:t>
      </w:r>
      <w:r w:rsidRPr="00314F90">
        <w:rPr>
          <w:rFonts w:ascii="Times New Roman" w:eastAsia="Times New Roman" w:hAnsi="Times New Roman" w:cs="Times New Roman"/>
          <w:i/>
          <w:iCs/>
          <w:sz w:val="24"/>
          <w:szCs w:val="24"/>
          <w:lang w:val="en-US"/>
        </w:rPr>
        <w:t xml:space="preserve"> Security</w:t>
      </w:r>
      <w:r w:rsidR="004C006C">
        <w:rPr>
          <w:rFonts w:ascii="Times New Roman" w:eastAsia="Times New Roman" w:hAnsi="Times New Roman" w:cs="Times New Roman"/>
          <w:sz w:val="24"/>
          <w:szCs w:val="24"/>
          <w:lang w:val="en-US"/>
        </w:rPr>
        <w:t>.</w:t>
      </w:r>
      <w:r w:rsidR="004C006C">
        <w:rPr>
          <w:rStyle w:val="FootnoteReference"/>
          <w:rFonts w:ascii="Times New Roman" w:eastAsia="Times New Roman" w:hAnsi="Times New Roman" w:cs="Times New Roman"/>
          <w:sz w:val="24"/>
          <w:szCs w:val="24"/>
          <w:lang w:val="en-US"/>
        </w:rPr>
        <w:footnoteReference w:id="41"/>
      </w:r>
      <w:r w:rsidR="004C006C">
        <w:rPr>
          <w:rFonts w:ascii="Times New Roman" w:eastAsia="Times New Roman" w:hAnsi="Times New Roman" w:cs="Times New Roman"/>
          <w:sz w:val="24"/>
          <w:szCs w:val="24"/>
          <w:lang w:val="en-US"/>
        </w:rPr>
        <w:t xml:space="preserve"> </w:t>
      </w:r>
      <w:r w:rsidRPr="00314F90">
        <w:rPr>
          <w:rFonts w:ascii="Times New Roman" w:eastAsia="Times New Roman" w:hAnsi="Times New Roman" w:cs="Times New Roman"/>
          <w:sz w:val="24"/>
          <w:szCs w:val="24"/>
          <w:lang w:val="en-US"/>
        </w:rPr>
        <w:t>If the Sovereign power was defined by the right to “take life or let live,” Biopower is defined by the power to “make live and let die</w:t>
      </w:r>
      <w:r w:rsidR="004C006C">
        <w:rPr>
          <w:rFonts w:ascii="Times New Roman" w:eastAsia="Times New Roman" w:hAnsi="Times New Roman" w:cs="Times New Roman"/>
          <w:sz w:val="24"/>
          <w:szCs w:val="24"/>
          <w:lang w:val="en-US"/>
        </w:rPr>
        <w:t>.”</w:t>
      </w:r>
      <w:r w:rsidR="004C006C">
        <w:rPr>
          <w:rStyle w:val="FootnoteReference"/>
          <w:rFonts w:ascii="Times New Roman" w:eastAsia="Times New Roman" w:hAnsi="Times New Roman" w:cs="Times New Roman"/>
          <w:sz w:val="24"/>
          <w:szCs w:val="24"/>
          <w:lang w:val="en-US"/>
        </w:rPr>
        <w:footnoteReference w:id="42"/>
      </w:r>
      <w:r w:rsidR="004C006C">
        <w:rPr>
          <w:rFonts w:ascii="Times New Roman" w:eastAsia="Times New Roman" w:hAnsi="Times New Roman" w:cs="Times New Roman"/>
          <w:sz w:val="24"/>
          <w:szCs w:val="24"/>
          <w:lang w:val="en-US"/>
        </w:rPr>
        <w:t xml:space="preserve"> </w:t>
      </w:r>
      <w:r w:rsidRPr="00314F90">
        <w:rPr>
          <w:rFonts w:ascii="Times New Roman" w:eastAsia="Times New Roman" w:hAnsi="Times New Roman" w:cs="Times New Roman"/>
          <w:sz w:val="24"/>
          <w:szCs w:val="24"/>
          <w:lang w:val="en-US"/>
        </w:rPr>
        <w:t xml:space="preserve">The biopolitical state justifies its immense machinery on the grounds that it is </w:t>
      </w:r>
      <w:proofErr w:type="spellStart"/>
      <w:r w:rsidRPr="00314F90">
        <w:rPr>
          <w:rFonts w:ascii="Times New Roman" w:eastAsia="Times New Roman" w:hAnsi="Times New Roman" w:cs="Times New Roman"/>
          <w:sz w:val="24"/>
          <w:szCs w:val="24"/>
          <w:lang w:val="en-US"/>
        </w:rPr>
        <w:t>optimising</w:t>
      </w:r>
      <w:proofErr w:type="spellEnd"/>
      <w:r w:rsidRPr="00314F90">
        <w:rPr>
          <w:rFonts w:ascii="Times New Roman" w:eastAsia="Times New Roman" w:hAnsi="Times New Roman" w:cs="Times New Roman"/>
          <w:sz w:val="24"/>
          <w:szCs w:val="24"/>
          <w:lang w:val="en-US"/>
        </w:rPr>
        <w:t xml:space="preserve"> the birth rate, reducing mortality, and managing the “aleatory” (random) events of biological life</w:t>
      </w:r>
      <w:r w:rsidR="000A5D94">
        <w:rPr>
          <w:rFonts w:ascii="Times New Roman" w:eastAsia="Times New Roman" w:hAnsi="Times New Roman" w:cs="Times New Roman"/>
          <w:sz w:val="24"/>
          <w:szCs w:val="24"/>
          <w:lang w:val="en-US"/>
        </w:rPr>
        <w:t>.</w:t>
      </w:r>
      <w:r w:rsidR="000A5D94">
        <w:rPr>
          <w:rStyle w:val="FootnoteReference"/>
          <w:rFonts w:ascii="Times New Roman" w:eastAsia="Times New Roman" w:hAnsi="Times New Roman" w:cs="Times New Roman"/>
          <w:sz w:val="24"/>
          <w:szCs w:val="24"/>
          <w:lang w:val="en-US"/>
        </w:rPr>
        <w:footnoteReference w:id="43"/>
      </w:r>
      <w:r w:rsidR="000A5D94">
        <w:rPr>
          <w:rFonts w:ascii="Times New Roman" w:eastAsia="Times New Roman" w:hAnsi="Times New Roman" w:cs="Times New Roman"/>
          <w:sz w:val="24"/>
          <w:szCs w:val="24"/>
          <w:lang w:val="en-US"/>
        </w:rPr>
        <w:t xml:space="preserve"> </w:t>
      </w:r>
      <w:r w:rsidRPr="00314F90">
        <w:rPr>
          <w:rFonts w:ascii="Times New Roman" w:eastAsia="Times New Roman" w:hAnsi="Times New Roman" w:cs="Times New Roman"/>
          <w:sz w:val="24"/>
          <w:szCs w:val="24"/>
          <w:lang w:val="en-US"/>
        </w:rPr>
        <w:t xml:space="preserve">The modern welfare state is a “Providence State” that </w:t>
      </w:r>
      <w:proofErr w:type="spellStart"/>
      <w:r w:rsidRPr="00314F90">
        <w:rPr>
          <w:rFonts w:ascii="Times New Roman" w:eastAsia="Times New Roman" w:hAnsi="Times New Roman" w:cs="Times New Roman"/>
          <w:sz w:val="24"/>
          <w:szCs w:val="24"/>
          <w:lang w:val="en-US"/>
        </w:rPr>
        <w:t>legitimises</w:t>
      </w:r>
      <w:proofErr w:type="spellEnd"/>
      <w:r w:rsidRPr="00314F90">
        <w:rPr>
          <w:rFonts w:ascii="Times New Roman" w:eastAsia="Times New Roman" w:hAnsi="Times New Roman" w:cs="Times New Roman"/>
          <w:sz w:val="24"/>
          <w:szCs w:val="24"/>
          <w:lang w:val="en-US"/>
        </w:rPr>
        <w:t xml:space="preserve"> itself through </w:t>
      </w:r>
      <w:r w:rsidRPr="00314F90">
        <w:rPr>
          <w:rFonts w:ascii="Times New Roman" w:eastAsia="Times New Roman" w:hAnsi="Times New Roman" w:cs="Times New Roman"/>
          <w:i/>
          <w:iCs/>
          <w:sz w:val="24"/>
          <w:szCs w:val="24"/>
          <w:lang w:val="en-US"/>
        </w:rPr>
        <w:t>insurance</w:t>
      </w:r>
      <w:r w:rsidRPr="00314F90">
        <w:rPr>
          <w:rFonts w:ascii="Times New Roman" w:eastAsia="Times New Roman" w:hAnsi="Times New Roman" w:cs="Times New Roman"/>
          <w:sz w:val="24"/>
          <w:szCs w:val="24"/>
          <w:lang w:val="en-US"/>
        </w:rPr>
        <w:t>,</w:t>
      </w:r>
      <w:r w:rsidR="000A5D94">
        <w:rPr>
          <w:rStyle w:val="FootnoteReference"/>
          <w:rFonts w:ascii="Times New Roman" w:eastAsia="Times New Roman" w:hAnsi="Times New Roman" w:cs="Times New Roman"/>
          <w:sz w:val="24"/>
          <w:szCs w:val="24"/>
          <w:lang w:val="en-US"/>
        </w:rPr>
        <w:footnoteReference w:id="44"/>
      </w:r>
      <w:r w:rsidRPr="00314F90">
        <w:rPr>
          <w:rFonts w:ascii="Times New Roman" w:eastAsia="Times New Roman" w:hAnsi="Times New Roman" w:cs="Times New Roman"/>
          <w:sz w:val="24"/>
          <w:szCs w:val="24"/>
          <w:lang w:val="en-US"/>
        </w:rPr>
        <w:t xml:space="preserve"> treating the population as a reservoir of </w:t>
      </w:r>
      <w:r w:rsidRPr="00314F90">
        <w:rPr>
          <w:rFonts w:ascii="Times New Roman" w:eastAsia="Times New Roman" w:hAnsi="Times New Roman" w:cs="Times New Roman"/>
          <w:i/>
          <w:iCs/>
          <w:sz w:val="24"/>
          <w:szCs w:val="24"/>
          <w:lang w:val="en-US"/>
        </w:rPr>
        <w:t>statistical risks</w:t>
      </w:r>
      <w:r w:rsidRPr="00314F90">
        <w:rPr>
          <w:rFonts w:ascii="Times New Roman" w:eastAsia="Times New Roman" w:hAnsi="Times New Roman" w:cs="Times New Roman"/>
          <w:sz w:val="24"/>
          <w:szCs w:val="24"/>
          <w:lang w:val="en-US"/>
        </w:rPr>
        <w:t xml:space="preserve"> to be pooled and managed. </w:t>
      </w:r>
    </w:p>
    <w:p w14:paraId="00000030" w14:textId="37606931" w:rsidR="00CC5992" w:rsidRPr="00314F90" w:rsidRDefault="00000000">
      <w:pPr>
        <w:spacing w:before="240" w:after="240" w:line="360" w:lineRule="auto"/>
        <w:rPr>
          <w:rFonts w:ascii="Times New Roman" w:eastAsia="Times New Roman" w:hAnsi="Times New Roman" w:cs="Times New Roman"/>
          <w:sz w:val="24"/>
          <w:szCs w:val="24"/>
          <w:lang w:val="en-US"/>
        </w:rPr>
      </w:pPr>
      <w:r w:rsidRPr="00314F90">
        <w:rPr>
          <w:rFonts w:ascii="Times New Roman" w:eastAsia="Times New Roman" w:hAnsi="Times New Roman" w:cs="Times New Roman"/>
          <w:sz w:val="24"/>
          <w:szCs w:val="24"/>
          <w:lang w:val="en-US"/>
        </w:rPr>
        <w:t xml:space="preserve">It is tempting to narrate these as successive historical stages, but Foucault warns against this reading. In his famous “triangle of power” formulation, he insists: “We should not see things as the replacement of a society of sovereignty by a disciplinary society and then of a disciplinary society by a society of government; in reality one has a triangle, </w:t>
      </w:r>
      <w:r w:rsidRPr="00314F90">
        <w:rPr>
          <w:rFonts w:ascii="Times New Roman" w:eastAsia="Times New Roman" w:hAnsi="Times New Roman" w:cs="Times New Roman"/>
          <w:i/>
          <w:iCs/>
          <w:sz w:val="24"/>
          <w:szCs w:val="24"/>
          <w:lang w:val="en-US"/>
        </w:rPr>
        <w:t>sovereignty-discipline-government</w:t>
      </w:r>
      <w:r w:rsidR="000A5D94">
        <w:rPr>
          <w:rFonts w:ascii="Times New Roman" w:eastAsia="Times New Roman" w:hAnsi="Times New Roman" w:cs="Times New Roman"/>
          <w:sz w:val="24"/>
          <w:szCs w:val="24"/>
          <w:lang w:val="en-US"/>
        </w:rPr>
        <w:t>.”</w:t>
      </w:r>
      <w:r w:rsidR="000A5D94">
        <w:rPr>
          <w:rStyle w:val="FootnoteReference"/>
          <w:rFonts w:ascii="Times New Roman" w:eastAsia="Times New Roman" w:hAnsi="Times New Roman" w:cs="Times New Roman"/>
          <w:sz w:val="24"/>
          <w:szCs w:val="24"/>
          <w:lang w:val="en-US"/>
        </w:rPr>
        <w:footnoteReference w:id="45"/>
      </w:r>
      <w:r w:rsidRPr="00314F90">
        <w:rPr>
          <w:rFonts w:ascii="Times New Roman" w:eastAsia="Times New Roman" w:hAnsi="Times New Roman" w:cs="Times New Roman"/>
          <w:sz w:val="24"/>
          <w:szCs w:val="24"/>
          <w:lang w:val="en-US"/>
        </w:rPr>
        <w:t xml:space="preserve"> </w:t>
      </w:r>
    </w:p>
    <w:p w14:paraId="00000031" w14:textId="3BCA8587" w:rsidR="00CC5992" w:rsidRPr="00314F90" w:rsidRDefault="00000000">
      <w:pPr>
        <w:spacing w:before="240" w:after="240" w:line="360" w:lineRule="auto"/>
        <w:rPr>
          <w:rFonts w:ascii="Times New Roman" w:eastAsia="Times New Roman" w:hAnsi="Times New Roman" w:cs="Times New Roman"/>
          <w:sz w:val="24"/>
          <w:szCs w:val="24"/>
          <w:lang w:val="en-US"/>
        </w:rPr>
      </w:pPr>
      <w:r w:rsidRPr="00314F90">
        <w:rPr>
          <w:rFonts w:ascii="Times New Roman" w:eastAsia="Times New Roman" w:hAnsi="Times New Roman" w:cs="Times New Roman"/>
          <w:sz w:val="24"/>
          <w:szCs w:val="24"/>
          <w:lang w:val="en-US"/>
        </w:rPr>
        <w:t>Together, these modalities establish a “grid of intelligibility”</w:t>
      </w:r>
      <w:r w:rsidR="00855438">
        <w:rPr>
          <w:rStyle w:val="FootnoteReference"/>
          <w:rFonts w:ascii="Times New Roman" w:eastAsia="Times New Roman" w:hAnsi="Times New Roman" w:cs="Times New Roman"/>
          <w:sz w:val="24"/>
          <w:szCs w:val="24"/>
          <w:lang w:val="en-US"/>
        </w:rPr>
        <w:footnoteReference w:id="46"/>
      </w:r>
      <w:r w:rsidR="00855438">
        <w:rPr>
          <w:rFonts w:ascii="Times New Roman" w:eastAsia="Times New Roman" w:hAnsi="Times New Roman" w:cs="Times New Roman"/>
          <w:sz w:val="24"/>
          <w:szCs w:val="24"/>
          <w:lang w:val="en-US"/>
        </w:rPr>
        <w:t xml:space="preserve"> </w:t>
      </w:r>
      <w:r w:rsidRPr="00314F90">
        <w:rPr>
          <w:rFonts w:ascii="Times New Roman" w:eastAsia="Times New Roman" w:hAnsi="Times New Roman" w:cs="Times New Roman"/>
          <w:sz w:val="24"/>
          <w:szCs w:val="24"/>
          <w:lang w:val="en-US"/>
        </w:rPr>
        <w:t>for the explanation and implicit normative critique (Mode C) of state power:</w:t>
      </w:r>
    </w:p>
    <w:p w14:paraId="00000032" w14:textId="2C834325" w:rsidR="00CC5992" w:rsidRPr="00314F90" w:rsidRDefault="00000000">
      <w:pPr>
        <w:numPr>
          <w:ilvl w:val="0"/>
          <w:numId w:val="3"/>
        </w:numPr>
        <w:spacing w:before="240" w:line="360" w:lineRule="auto"/>
        <w:rPr>
          <w:rFonts w:ascii="Times New Roman" w:eastAsia="Times New Roman" w:hAnsi="Times New Roman" w:cs="Times New Roman"/>
          <w:sz w:val="24"/>
          <w:szCs w:val="24"/>
          <w:lang w:val="en-US"/>
        </w:rPr>
      </w:pPr>
      <w:r w:rsidRPr="00314F90">
        <w:rPr>
          <w:rFonts w:ascii="Times New Roman" w:eastAsia="Times New Roman" w:hAnsi="Times New Roman" w:cs="Times New Roman"/>
          <w:i/>
          <w:iCs/>
          <w:sz w:val="24"/>
          <w:szCs w:val="24"/>
          <w:lang w:val="en-US"/>
        </w:rPr>
        <w:t>Sovereignty:</w:t>
      </w:r>
      <w:r w:rsidRPr="00314F90">
        <w:rPr>
          <w:rFonts w:ascii="Times New Roman" w:eastAsia="Times New Roman" w:hAnsi="Times New Roman" w:cs="Times New Roman"/>
          <w:sz w:val="24"/>
          <w:szCs w:val="24"/>
          <w:lang w:val="en-US"/>
        </w:rPr>
        <w:t xml:space="preserve"> Its logic is juridical and punitive. Sovereign power presents itself as legitimate through right, jurisdiction, and territorial protection</w:t>
      </w:r>
      <w:r w:rsidR="00855438">
        <w:rPr>
          <w:rFonts w:ascii="Times New Roman" w:eastAsia="Times New Roman" w:hAnsi="Times New Roman" w:cs="Times New Roman"/>
          <w:sz w:val="24"/>
          <w:szCs w:val="24"/>
          <w:lang w:val="en-US"/>
        </w:rPr>
        <w:t>.</w:t>
      </w:r>
      <w:r w:rsidR="00855438">
        <w:rPr>
          <w:rStyle w:val="FootnoteReference"/>
          <w:rFonts w:ascii="Times New Roman" w:eastAsia="Times New Roman" w:hAnsi="Times New Roman" w:cs="Times New Roman"/>
          <w:sz w:val="24"/>
          <w:szCs w:val="24"/>
          <w:lang w:val="en-US"/>
        </w:rPr>
        <w:footnoteReference w:id="47"/>
      </w:r>
      <w:r w:rsidR="00855438">
        <w:rPr>
          <w:rFonts w:ascii="Times New Roman" w:eastAsia="Times New Roman" w:hAnsi="Times New Roman" w:cs="Times New Roman"/>
          <w:sz w:val="24"/>
          <w:szCs w:val="24"/>
          <w:lang w:val="en-US"/>
        </w:rPr>
        <w:t xml:space="preserve"> </w:t>
      </w:r>
      <w:r w:rsidRPr="00314F90">
        <w:rPr>
          <w:rFonts w:ascii="Times New Roman" w:eastAsia="Times New Roman" w:hAnsi="Times New Roman" w:cs="Times New Roman"/>
          <w:sz w:val="24"/>
          <w:szCs w:val="24"/>
          <w:lang w:val="en-US"/>
        </w:rPr>
        <w:t xml:space="preserve">Its privileged </w:t>
      </w:r>
      <w:r w:rsidRPr="00314F90">
        <w:rPr>
          <w:rFonts w:ascii="Times New Roman" w:eastAsia="Times New Roman" w:hAnsi="Times New Roman" w:cs="Times New Roman"/>
          <w:sz w:val="24"/>
          <w:szCs w:val="24"/>
          <w:lang w:val="en-US"/>
        </w:rPr>
        <w:lastRenderedPageBreak/>
        <w:t>instrument is Law (the domain of Right), and its ultimate prerogative is the right to “take life or let live.</w:t>
      </w:r>
      <w:r w:rsidR="00B21913">
        <w:rPr>
          <w:rFonts w:ascii="Times New Roman" w:eastAsia="Times New Roman" w:hAnsi="Times New Roman" w:cs="Times New Roman"/>
          <w:sz w:val="24"/>
          <w:szCs w:val="24"/>
          <w:lang w:val="en-US"/>
        </w:rPr>
        <w:t>”</w:t>
      </w:r>
      <w:r w:rsidR="00B21913">
        <w:rPr>
          <w:rStyle w:val="FootnoteReference"/>
          <w:rFonts w:ascii="Times New Roman" w:eastAsia="Times New Roman" w:hAnsi="Times New Roman" w:cs="Times New Roman"/>
          <w:sz w:val="24"/>
          <w:szCs w:val="24"/>
          <w:lang w:val="en-US"/>
        </w:rPr>
        <w:footnoteReference w:id="48"/>
      </w:r>
    </w:p>
    <w:p w14:paraId="327EB0A2" w14:textId="0E6617BD" w:rsidR="00A53148" w:rsidRPr="00A53148" w:rsidRDefault="00000000" w:rsidP="00A53148">
      <w:pPr>
        <w:numPr>
          <w:ilvl w:val="0"/>
          <w:numId w:val="3"/>
        </w:numPr>
        <w:spacing w:line="360" w:lineRule="auto"/>
        <w:rPr>
          <w:rFonts w:ascii="Times New Roman" w:eastAsia="Times New Roman" w:hAnsi="Times New Roman" w:cs="Times New Roman"/>
          <w:sz w:val="24"/>
          <w:szCs w:val="24"/>
          <w:lang w:val="en-US"/>
        </w:rPr>
      </w:pPr>
      <w:r w:rsidRPr="00314F90">
        <w:rPr>
          <w:rFonts w:ascii="Times New Roman" w:eastAsia="Times New Roman" w:hAnsi="Times New Roman" w:cs="Times New Roman"/>
          <w:i/>
          <w:iCs/>
          <w:sz w:val="24"/>
          <w:szCs w:val="24"/>
          <w:lang w:val="en-US"/>
        </w:rPr>
        <w:t>Discipline</w:t>
      </w:r>
      <w:r w:rsidRPr="00314F90">
        <w:rPr>
          <w:rFonts w:ascii="Times New Roman" w:eastAsia="Times New Roman" w:hAnsi="Times New Roman" w:cs="Times New Roman"/>
          <w:sz w:val="24"/>
          <w:szCs w:val="24"/>
          <w:lang w:val="en-US"/>
        </w:rPr>
        <w:t xml:space="preserve">: Its logic is productive and </w:t>
      </w:r>
      <w:proofErr w:type="spellStart"/>
      <w:r w:rsidRPr="00314F90">
        <w:rPr>
          <w:rFonts w:ascii="Times New Roman" w:eastAsia="Times New Roman" w:hAnsi="Times New Roman" w:cs="Times New Roman"/>
          <w:sz w:val="24"/>
          <w:szCs w:val="24"/>
          <w:lang w:val="en-US"/>
        </w:rPr>
        <w:t>individualising</w:t>
      </w:r>
      <w:proofErr w:type="spellEnd"/>
      <w:r w:rsidRPr="00314F90">
        <w:rPr>
          <w:rFonts w:ascii="Times New Roman" w:eastAsia="Times New Roman" w:hAnsi="Times New Roman" w:cs="Times New Roman"/>
          <w:sz w:val="24"/>
          <w:szCs w:val="24"/>
          <w:lang w:val="en-US"/>
        </w:rPr>
        <w:t xml:space="preserve">. It operates on the body to train conduct and produce capacities through </w:t>
      </w:r>
      <w:proofErr w:type="spellStart"/>
      <w:r w:rsidRPr="00314F90">
        <w:rPr>
          <w:rFonts w:ascii="Times New Roman" w:eastAsia="Times New Roman" w:hAnsi="Times New Roman" w:cs="Times New Roman"/>
          <w:sz w:val="24"/>
          <w:szCs w:val="24"/>
          <w:lang w:val="en-US"/>
        </w:rPr>
        <w:t>normalisation</w:t>
      </w:r>
      <w:proofErr w:type="spellEnd"/>
      <w:r w:rsidRPr="00314F90">
        <w:rPr>
          <w:rFonts w:ascii="Times New Roman" w:eastAsia="Times New Roman" w:hAnsi="Times New Roman" w:cs="Times New Roman"/>
          <w:sz w:val="24"/>
          <w:szCs w:val="24"/>
          <w:lang w:val="en-US"/>
        </w:rPr>
        <w:t>. It tends to legitimate itself through claims of expertise, utility, and the production of normality</w:t>
      </w:r>
      <w:r w:rsidR="00A53148">
        <w:rPr>
          <w:rFonts w:ascii="Times New Roman" w:eastAsia="Times New Roman" w:hAnsi="Times New Roman" w:cs="Times New Roman"/>
          <w:sz w:val="24"/>
          <w:szCs w:val="24"/>
          <w:lang w:val="en-US"/>
        </w:rPr>
        <w:t>.</w:t>
      </w:r>
      <w:r w:rsidR="00A53148">
        <w:rPr>
          <w:rStyle w:val="FootnoteReference"/>
          <w:rFonts w:ascii="Times New Roman" w:eastAsia="Times New Roman" w:hAnsi="Times New Roman" w:cs="Times New Roman"/>
          <w:sz w:val="24"/>
          <w:szCs w:val="24"/>
          <w:lang w:val="en-US"/>
        </w:rPr>
        <w:footnoteReference w:id="49"/>
      </w:r>
    </w:p>
    <w:p w14:paraId="00000034" w14:textId="4F4C86CD" w:rsidR="00CC5992" w:rsidRPr="00314F90" w:rsidRDefault="00000000">
      <w:pPr>
        <w:numPr>
          <w:ilvl w:val="0"/>
          <w:numId w:val="3"/>
        </w:numPr>
        <w:spacing w:after="240" w:line="360" w:lineRule="auto"/>
        <w:rPr>
          <w:rFonts w:ascii="Times New Roman" w:eastAsia="Times New Roman" w:hAnsi="Times New Roman" w:cs="Times New Roman"/>
          <w:sz w:val="24"/>
          <w:szCs w:val="24"/>
          <w:lang w:val="en-US"/>
        </w:rPr>
      </w:pPr>
      <w:r w:rsidRPr="00314F90">
        <w:rPr>
          <w:rFonts w:ascii="Times New Roman" w:eastAsia="Times New Roman" w:hAnsi="Times New Roman" w:cs="Times New Roman"/>
          <w:i/>
          <w:iCs/>
          <w:sz w:val="24"/>
          <w:szCs w:val="24"/>
          <w:lang w:val="en-US"/>
        </w:rPr>
        <w:t>Security (Biopolitics)</w:t>
      </w:r>
      <w:r w:rsidRPr="00314F90">
        <w:rPr>
          <w:rFonts w:ascii="Times New Roman" w:eastAsia="Times New Roman" w:hAnsi="Times New Roman" w:cs="Times New Roman"/>
          <w:sz w:val="24"/>
          <w:szCs w:val="24"/>
          <w:lang w:val="en-US"/>
        </w:rPr>
        <w:t xml:space="preserve">: Its logic is regulatory and population-level. Rather than primarily commanding by law (Sovereignty) or training bodies within enclosed institutions (Discipline), security mechanisms govern the population (and its subsets) as a statistical and biological field, managing circulation and calibrated </w:t>
      </w:r>
      <w:r w:rsidR="00E4455B">
        <w:rPr>
          <w:rFonts w:ascii="Times New Roman" w:eastAsia="Times New Roman" w:hAnsi="Times New Roman" w:cs="Times New Roman"/>
          <w:sz w:val="24"/>
          <w:szCs w:val="24"/>
          <w:lang w:val="en-US"/>
        </w:rPr>
        <w:t>risk.</w:t>
      </w:r>
      <w:r w:rsidR="00E4455B">
        <w:rPr>
          <w:rStyle w:val="FootnoteReference"/>
          <w:rFonts w:ascii="Times New Roman" w:eastAsia="Times New Roman" w:hAnsi="Times New Roman" w:cs="Times New Roman"/>
          <w:sz w:val="24"/>
          <w:szCs w:val="24"/>
          <w:lang w:val="en-US"/>
        </w:rPr>
        <w:footnoteReference w:id="50"/>
      </w:r>
      <w:r w:rsidRPr="00314F90">
        <w:rPr>
          <w:rFonts w:ascii="Times New Roman" w:eastAsia="Times New Roman" w:hAnsi="Times New Roman" w:cs="Times New Roman"/>
          <w:sz w:val="24"/>
          <w:szCs w:val="24"/>
          <w:lang w:val="en-US"/>
        </w:rPr>
        <w:t xml:space="preserve"> This is often the dominant rationality in modern statecraft, though it continually recruits and reactivates Sovereignty and Discipline.</w:t>
      </w:r>
    </w:p>
    <w:p w14:paraId="00000035" w14:textId="56E78550" w:rsidR="00CC5992" w:rsidRPr="00314F90" w:rsidRDefault="00000000">
      <w:pPr>
        <w:spacing w:before="240" w:after="240" w:line="360" w:lineRule="auto"/>
        <w:rPr>
          <w:rFonts w:ascii="Times New Roman" w:eastAsia="Times New Roman" w:hAnsi="Times New Roman" w:cs="Times New Roman"/>
          <w:sz w:val="24"/>
          <w:szCs w:val="24"/>
          <w:lang w:val="en-US"/>
        </w:rPr>
      </w:pPr>
      <w:r w:rsidRPr="00314F90">
        <w:rPr>
          <w:rFonts w:ascii="Times New Roman" w:eastAsia="Times New Roman" w:hAnsi="Times New Roman" w:cs="Times New Roman"/>
          <w:sz w:val="24"/>
          <w:szCs w:val="24"/>
          <w:lang w:val="en-US"/>
        </w:rPr>
        <w:t xml:space="preserve">These logics do not map successive historical stages, but three justificatory grammars that can operate together; sometimes </w:t>
      </w:r>
      <w:proofErr w:type="spellStart"/>
      <w:r w:rsidRPr="00314F90">
        <w:rPr>
          <w:rFonts w:ascii="Times New Roman" w:eastAsia="Times New Roman" w:hAnsi="Times New Roman" w:cs="Times New Roman"/>
          <w:sz w:val="24"/>
          <w:szCs w:val="24"/>
          <w:lang w:val="en-US"/>
        </w:rPr>
        <w:t>harmonising</w:t>
      </w:r>
      <w:proofErr w:type="spellEnd"/>
      <w:r w:rsidRPr="00314F90">
        <w:rPr>
          <w:rFonts w:ascii="Times New Roman" w:eastAsia="Times New Roman" w:hAnsi="Times New Roman" w:cs="Times New Roman"/>
          <w:sz w:val="24"/>
          <w:szCs w:val="24"/>
          <w:lang w:val="en-US"/>
        </w:rPr>
        <w:t>, often in tension. The methodological implications are profound. By exposing the state as a “structural effect” of these justificatory grammars</w:t>
      </w:r>
      <w:r w:rsidR="006A7DFD">
        <w:rPr>
          <w:rFonts w:ascii="Times New Roman" w:eastAsia="Times New Roman" w:hAnsi="Times New Roman" w:cs="Times New Roman"/>
          <w:sz w:val="24"/>
          <w:szCs w:val="24"/>
          <w:lang w:val="en-US"/>
        </w:rPr>
        <w:t xml:space="preserve">, </w:t>
      </w:r>
      <w:r w:rsidRPr="00314F90">
        <w:rPr>
          <w:rFonts w:ascii="Times New Roman" w:eastAsia="Times New Roman" w:hAnsi="Times New Roman" w:cs="Times New Roman"/>
          <w:sz w:val="24"/>
          <w:szCs w:val="24"/>
          <w:lang w:val="en-US"/>
        </w:rPr>
        <w:t xml:space="preserve">Foucault alters our perception of the state and </w:t>
      </w:r>
      <w:proofErr w:type="gramStart"/>
      <w:r w:rsidRPr="00314F90">
        <w:rPr>
          <w:rFonts w:ascii="Times New Roman" w:eastAsia="Times New Roman" w:hAnsi="Times New Roman" w:cs="Times New Roman"/>
          <w:sz w:val="24"/>
          <w:szCs w:val="24"/>
          <w:lang w:val="en-US"/>
        </w:rPr>
        <w:t>opens up</w:t>
      </w:r>
      <w:proofErr w:type="gramEnd"/>
      <w:r w:rsidRPr="00314F90">
        <w:rPr>
          <w:rFonts w:ascii="Times New Roman" w:eastAsia="Times New Roman" w:hAnsi="Times New Roman" w:cs="Times New Roman"/>
          <w:sz w:val="24"/>
          <w:szCs w:val="24"/>
          <w:lang w:val="en-US"/>
        </w:rPr>
        <w:t xml:space="preserve"> new possibilities for critique.</w:t>
      </w:r>
      <w:r w:rsidR="006A7DFD">
        <w:rPr>
          <w:rStyle w:val="FootnoteReference"/>
          <w:rFonts w:ascii="Times New Roman" w:eastAsia="Times New Roman" w:hAnsi="Times New Roman" w:cs="Times New Roman"/>
          <w:sz w:val="24"/>
          <w:szCs w:val="24"/>
          <w:lang w:val="en-US"/>
        </w:rPr>
        <w:footnoteReference w:id="51"/>
      </w:r>
      <w:r w:rsidRPr="00314F90">
        <w:rPr>
          <w:rFonts w:ascii="Times New Roman" w:eastAsia="Times New Roman" w:hAnsi="Times New Roman" w:cs="Times New Roman"/>
          <w:sz w:val="24"/>
          <w:szCs w:val="24"/>
          <w:lang w:val="en-US"/>
        </w:rPr>
        <w:t xml:space="preserve"> The state does not possess a coherent “will” or unity; it is an assemblage of distinct, often conflicting rationalities. When the state faces a pandemic, it legitimates itself through </w:t>
      </w:r>
      <w:r w:rsidRPr="00314F90">
        <w:rPr>
          <w:rFonts w:ascii="Times New Roman" w:eastAsia="Times New Roman" w:hAnsi="Times New Roman" w:cs="Times New Roman"/>
          <w:i/>
          <w:iCs/>
          <w:sz w:val="24"/>
          <w:szCs w:val="24"/>
          <w:lang w:val="en-US"/>
        </w:rPr>
        <w:t>biopolitical security</w:t>
      </w:r>
      <w:r w:rsidRPr="00314F90">
        <w:rPr>
          <w:rFonts w:ascii="Times New Roman" w:eastAsia="Times New Roman" w:hAnsi="Times New Roman" w:cs="Times New Roman"/>
          <w:sz w:val="24"/>
          <w:szCs w:val="24"/>
          <w:lang w:val="en-US"/>
        </w:rPr>
        <w:t xml:space="preserve"> (managing public health and insurance); when it faces abnormal behaviour, it deploys </w:t>
      </w:r>
      <w:r w:rsidRPr="00314F90">
        <w:rPr>
          <w:rFonts w:ascii="Times New Roman" w:eastAsia="Times New Roman" w:hAnsi="Times New Roman" w:cs="Times New Roman"/>
          <w:i/>
          <w:iCs/>
          <w:sz w:val="24"/>
          <w:szCs w:val="24"/>
          <w:lang w:val="en-US"/>
        </w:rPr>
        <w:t>discipline</w:t>
      </w:r>
      <w:r w:rsidRPr="00314F90">
        <w:rPr>
          <w:rFonts w:ascii="Times New Roman" w:eastAsia="Times New Roman" w:hAnsi="Times New Roman" w:cs="Times New Roman"/>
          <w:sz w:val="24"/>
          <w:szCs w:val="24"/>
          <w:lang w:val="en-US"/>
        </w:rPr>
        <w:t xml:space="preserve"> (training and </w:t>
      </w:r>
      <w:proofErr w:type="spellStart"/>
      <w:r w:rsidRPr="00314F90">
        <w:rPr>
          <w:rFonts w:ascii="Times New Roman" w:eastAsia="Times New Roman" w:hAnsi="Times New Roman" w:cs="Times New Roman"/>
          <w:sz w:val="24"/>
          <w:szCs w:val="24"/>
          <w:lang w:val="en-US"/>
        </w:rPr>
        <w:t>normalising</w:t>
      </w:r>
      <w:proofErr w:type="spellEnd"/>
      <w:r w:rsidRPr="00314F90">
        <w:rPr>
          <w:rFonts w:ascii="Times New Roman" w:eastAsia="Times New Roman" w:hAnsi="Times New Roman" w:cs="Times New Roman"/>
          <w:sz w:val="24"/>
          <w:szCs w:val="24"/>
          <w:lang w:val="en-US"/>
        </w:rPr>
        <w:t xml:space="preserve"> bodies); and when it faces riots or a national emergency, it reactivates </w:t>
      </w:r>
      <w:r w:rsidRPr="00314F90">
        <w:rPr>
          <w:rFonts w:ascii="Times New Roman" w:eastAsia="Times New Roman" w:hAnsi="Times New Roman" w:cs="Times New Roman"/>
          <w:i/>
          <w:iCs/>
          <w:sz w:val="24"/>
          <w:szCs w:val="24"/>
          <w:lang w:val="en-US"/>
        </w:rPr>
        <w:t>sovereignty</w:t>
      </w:r>
      <w:r w:rsidRPr="00314F90">
        <w:rPr>
          <w:rFonts w:ascii="Times New Roman" w:eastAsia="Times New Roman" w:hAnsi="Times New Roman" w:cs="Times New Roman"/>
          <w:sz w:val="24"/>
          <w:szCs w:val="24"/>
          <w:lang w:val="en-US"/>
        </w:rPr>
        <w:t xml:space="preserve"> (restoring order through law, territory, and punishment). It may present itself as the “caretaker” of the flock (pastoral government), yet it retains the terrifying “sword” of the sovereign to enforce those aims and punish the enemies of progress.</w:t>
      </w:r>
    </w:p>
    <w:p w14:paraId="00000036" w14:textId="77777777" w:rsidR="00CC5992" w:rsidRPr="00314F90" w:rsidRDefault="00CC5992">
      <w:pPr>
        <w:spacing w:before="240" w:after="240" w:line="360" w:lineRule="auto"/>
        <w:rPr>
          <w:rFonts w:ascii="Times New Roman" w:eastAsia="Times New Roman" w:hAnsi="Times New Roman" w:cs="Times New Roman"/>
          <w:sz w:val="24"/>
          <w:szCs w:val="24"/>
          <w:lang w:val="en-US"/>
        </w:rPr>
      </w:pPr>
    </w:p>
    <w:p w14:paraId="00000037" w14:textId="77777777" w:rsidR="00CC5992" w:rsidRDefault="00000000">
      <w:pPr>
        <w:pStyle w:val="Heading2"/>
        <w:keepNext w:val="0"/>
        <w:keepLines w:val="0"/>
        <w:numPr>
          <w:ilvl w:val="0"/>
          <w:numId w:val="2"/>
        </w:numPr>
        <w:spacing w:before="280" w:line="360" w:lineRule="auto"/>
      </w:pPr>
      <w:bookmarkStart w:id="5" w:name="_mdutl47598hw" w:colFirst="0" w:colLast="0"/>
      <w:bookmarkEnd w:id="5"/>
      <w:r>
        <w:t>Freedom, State Power, and Critique</w:t>
      </w:r>
    </w:p>
    <w:p w14:paraId="00000038" w14:textId="7397FD40" w:rsidR="00CC5992" w:rsidRPr="00314F90" w:rsidRDefault="00000000">
      <w:pPr>
        <w:spacing w:before="240" w:after="240" w:line="360" w:lineRule="auto"/>
        <w:rPr>
          <w:rFonts w:ascii="Times New Roman" w:eastAsia="Times New Roman" w:hAnsi="Times New Roman" w:cs="Times New Roman"/>
          <w:sz w:val="24"/>
          <w:szCs w:val="24"/>
          <w:lang w:val="en-US"/>
        </w:rPr>
      </w:pPr>
      <w:r w:rsidRPr="00314F90">
        <w:rPr>
          <w:rFonts w:ascii="Times New Roman" w:eastAsia="Times New Roman" w:hAnsi="Times New Roman" w:cs="Times New Roman"/>
          <w:sz w:val="24"/>
          <w:szCs w:val="24"/>
          <w:lang w:val="en-US"/>
        </w:rPr>
        <w:t xml:space="preserve">In Foucault’s picture, there is no domain of human agency that is “outside” of power relations. This raises the question: what role is left for positive conceptions of freedom and </w:t>
      </w:r>
      <w:r w:rsidRPr="00314F90">
        <w:rPr>
          <w:rFonts w:ascii="Times New Roman" w:eastAsia="Times New Roman" w:hAnsi="Times New Roman" w:cs="Times New Roman"/>
          <w:sz w:val="24"/>
          <w:szCs w:val="24"/>
          <w:lang w:val="en-US"/>
        </w:rPr>
        <w:lastRenderedPageBreak/>
        <w:t>resistance? His nuanced discussion of “neoliberalism” serves as a crucial pivot. Foucault’s 1979 lectures on Biopolitics famously treat “neoliberalism” as a specific “art of government” that constitutes a potential historical break with the logic of disciplinary and pastoral powers.</w:t>
      </w:r>
      <w:r w:rsidR="00DC7F2D">
        <w:rPr>
          <w:rStyle w:val="FootnoteReference"/>
          <w:rFonts w:ascii="Times New Roman" w:eastAsia="Times New Roman" w:hAnsi="Times New Roman" w:cs="Times New Roman"/>
          <w:sz w:val="24"/>
          <w:szCs w:val="24"/>
          <w:lang w:val="en-US"/>
        </w:rPr>
        <w:footnoteReference w:id="52"/>
      </w:r>
      <w:r w:rsidRPr="00314F90">
        <w:rPr>
          <w:rFonts w:ascii="Times New Roman" w:eastAsia="Times New Roman" w:hAnsi="Times New Roman" w:cs="Times New Roman"/>
          <w:sz w:val="24"/>
          <w:szCs w:val="24"/>
          <w:lang w:val="en-US"/>
        </w:rPr>
        <w:t xml:space="preserve"> In his discussion of American neoliberalism,</w:t>
      </w:r>
      <w:r w:rsidR="00F807E6">
        <w:rPr>
          <w:rStyle w:val="FootnoteReference"/>
          <w:rFonts w:ascii="Times New Roman" w:eastAsia="Times New Roman" w:hAnsi="Times New Roman" w:cs="Times New Roman"/>
          <w:sz w:val="24"/>
          <w:szCs w:val="24"/>
          <w:lang w:val="en-US"/>
        </w:rPr>
        <w:footnoteReference w:id="53"/>
      </w:r>
      <w:r w:rsidRPr="00314F90">
        <w:rPr>
          <w:rFonts w:ascii="Times New Roman" w:eastAsia="Times New Roman" w:hAnsi="Times New Roman" w:cs="Times New Roman"/>
          <w:sz w:val="24"/>
          <w:szCs w:val="24"/>
          <w:lang w:val="en-US"/>
        </w:rPr>
        <w:t xml:space="preserve"> Foucault observes that the neoliberal state has no interest in correcting or curing the “soul” of the subject. Unlike the disciplinary state, which seeks to mold the individual, or the welfare state, which seeks to care for them, the neoliberal regime functions merely by “setting the rules of the game.</w:t>
      </w:r>
      <w:r w:rsidR="00306981">
        <w:rPr>
          <w:rFonts w:ascii="Times New Roman" w:eastAsia="Times New Roman" w:hAnsi="Times New Roman" w:cs="Times New Roman"/>
          <w:sz w:val="24"/>
          <w:szCs w:val="24"/>
          <w:lang w:val="en-US"/>
        </w:rPr>
        <w:t>”</w:t>
      </w:r>
      <w:r w:rsidR="00306981">
        <w:rPr>
          <w:rStyle w:val="FootnoteReference"/>
          <w:rFonts w:ascii="Times New Roman" w:eastAsia="Times New Roman" w:hAnsi="Times New Roman" w:cs="Times New Roman"/>
          <w:sz w:val="24"/>
          <w:szCs w:val="24"/>
          <w:lang w:val="en-US"/>
        </w:rPr>
        <w:footnoteReference w:id="54"/>
      </w:r>
      <w:r w:rsidRPr="00314F90">
        <w:rPr>
          <w:rFonts w:ascii="Times New Roman" w:eastAsia="Times New Roman" w:hAnsi="Times New Roman" w:cs="Times New Roman"/>
          <w:sz w:val="24"/>
          <w:szCs w:val="24"/>
          <w:lang w:val="en-US"/>
        </w:rPr>
        <w:t xml:space="preserve"> It adjusts the parameters of the environment, such as incentives, supply, and demand, and leaves the individual alone to navigate them. At the same time, this neoliberal retreat of the state produces its own specific mode of subjectification: the </w:t>
      </w:r>
      <w:r w:rsidR="00BD6F59">
        <w:rPr>
          <w:rFonts w:ascii="Times New Roman" w:eastAsia="Times New Roman" w:hAnsi="Times New Roman" w:cs="Times New Roman"/>
          <w:i/>
          <w:iCs/>
          <w:sz w:val="24"/>
          <w:szCs w:val="24"/>
          <w:lang w:val="en-US"/>
        </w:rPr>
        <w:t>H</w:t>
      </w:r>
      <w:r w:rsidRPr="00314F90">
        <w:rPr>
          <w:rFonts w:ascii="Times New Roman" w:eastAsia="Times New Roman" w:hAnsi="Times New Roman" w:cs="Times New Roman"/>
          <w:i/>
          <w:iCs/>
          <w:sz w:val="24"/>
          <w:szCs w:val="24"/>
          <w:lang w:val="en-US"/>
        </w:rPr>
        <w:t>omo economicus</w:t>
      </w:r>
      <w:r w:rsidRPr="00314F90">
        <w:rPr>
          <w:rFonts w:ascii="Times New Roman" w:eastAsia="Times New Roman" w:hAnsi="Times New Roman" w:cs="Times New Roman"/>
          <w:sz w:val="24"/>
          <w:szCs w:val="24"/>
          <w:lang w:val="en-US"/>
        </w:rPr>
        <w:t xml:space="preserve"> or “entrepreneur of the self,” </w:t>
      </w:r>
      <w:proofErr w:type="spellStart"/>
      <w:r w:rsidRPr="00314F90">
        <w:rPr>
          <w:rFonts w:ascii="Times New Roman" w:eastAsia="Times New Roman" w:hAnsi="Times New Roman" w:cs="Times New Roman"/>
          <w:sz w:val="24"/>
          <w:szCs w:val="24"/>
          <w:lang w:val="en-US"/>
        </w:rPr>
        <w:t>incentivised</w:t>
      </w:r>
      <w:proofErr w:type="spellEnd"/>
      <w:r w:rsidRPr="00314F90">
        <w:rPr>
          <w:rFonts w:ascii="Times New Roman" w:eastAsia="Times New Roman" w:hAnsi="Times New Roman" w:cs="Times New Roman"/>
          <w:sz w:val="24"/>
          <w:szCs w:val="24"/>
          <w:lang w:val="en-US"/>
        </w:rPr>
        <w:t xml:space="preserve"> to manage their “human capital</w:t>
      </w:r>
      <w:r w:rsidR="002754B5">
        <w:rPr>
          <w:rFonts w:ascii="Times New Roman" w:eastAsia="Times New Roman" w:hAnsi="Times New Roman" w:cs="Times New Roman"/>
          <w:sz w:val="24"/>
          <w:szCs w:val="24"/>
          <w:lang w:val="en-US"/>
        </w:rPr>
        <w:t>.”</w:t>
      </w:r>
      <w:r w:rsidR="002754B5">
        <w:rPr>
          <w:rStyle w:val="FootnoteReference"/>
          <w:rFonts w:ascii="Times New Roman" w:eastAsia="Times New Roman" w:hAnsi="Times New Roman" w:cs="Times New Roman"/>
          <w:sz w:val="24"/>
          <w:szCs w:val="24"/>
          <w:lang w:val="en-US"/>
        </w:rPr>
        <w:footnoteReference w:id="55"/>
      </w:r>
      <w:r w:rsidR="002754B5">
        <w:rPr>
          <w:rFonts w:ascii="Times New Roman" w:eastAsia="Times New Roman" w:hAnsi="Times New Roman" w:cs="Times New Roman"/>
          <w:sz w:val="24"/>
          <w:szCs w:val="24"/>
          <w:lang w:val="en-US"/>
        </w:rPr>
        <w:t xml:space="preserve"> </w:t>
      </w:r>
      <w:r w:rsidRPr="00314F90">
        <w:rPr>
          <w:rFonts w:ascii="Times New Roman" w:eastAsia="Times New Roman" w:hAnsi="Times New Roman" w:cs="Times New Roman"/>
          <w:sz w:val="24"/>
          <w:szCs w:val="24"/>
          <w:lang w:val="en-US"/>
        </w:rPr>
        <w:t>There is no practice of freedom that is not simultaneously involved in the production of new power relations. Every “exit” from one regime of power inevitably involves entering another.</w:t>
      </w:r>
    </w:p>
    <w:p w14:paraId="00000039" w14:textId="20BA449F" w:rsidR="00CC5992" w:rsidRPr="00314F90" w:rsidRDefault="00000000">
      <w:pPr>
        <w:spacing w:before="240" w:after="240" w:line="360" w:lineRule="auto"/>
        <w:rPr>
          <w:rFonts w:ascii="Times New Roman" w:eastAsia="Times New Roman" w:hAnsi="Times New Roman" w:cs="Times New Roman"/>
          <w:sz w:val="24"/>
          <w:szCs w:val="24"/>
          <w:lang w:val="en-US"/>
        </w:rPr>
      </w:pPr>
      <w:r w:rsidRPr="00314F90">
        <w:rPr>
          <w:rFonts w:ascii="Times New Roman" w:eastAsia="Times New Roman" w:hAnsi="Times New Roman" w:cs="Times New Roman"/>
          <w:sz w:val="24"/>
          <w:szCs w:val="24"/>
          <w:lang w:val="en-US"/>
        </w:rPr>
        <w:t>Throughout his career, Foucault was a restless explorer of such potential “exits” from the trap of state power. He sought these openings in diverse sites: in the gay underground movement</w:t>
      </w:r>
      <w:r w:rsidR="00585334">
        <w:rPr>
          <w:rStyle w:val="FootnoteReference"/>
          <w:rFonts w:ascii="Times New Roman" w:eastAsia="Times New Roman" w:hAnsi="Times New Roman" w:cs="Times New Roman"/>
          <w:sz w:val="24"/>
          <w:szCs w:val="24"/>
          <w:lang w:val="en-US"/>
        </w:rPr>
        <w:footnoteReference w:id="56"/>
      </w:r>
      <w:r w:rsidRPr="00314F90">
        <w:rPr>
          <w:rFonts w:ascii="Times New Roman" w:eastAsia="Times New Roman" w:hAnsi="Times New Roman" w:cs="Times New Roman"/>
          <w:sz w:val="24"/>
          <w:szCs w:val="24"/>
          <w:lang w:val="en-US"/>
        </w:rPr>
        <w:t xml:space="preserve">; in the ancient Greek practices of the </w:t>
      </w:r>
      <w:r w:rsidRPr="00314F90">
        <w:rPr>
          <w:rFonts w:ascii="Times New Roman" w:eastAsia="Times New Roman" w:hAnsi="Times New Roman" w:cs="Times New Roman"/>
          <w:i/>
          <w:iCs/>
          <w:sz w:val="24"/>
          <w:szCs w:val="24"/>
          <w:lang w:val="en-US"/>
        </w:rPr>
        <w:t>care of the self</w:t>
      </w:r>
      <w:r w:rsidR="00E33CE4">
        <w:rPr>
          <w:rStyle w:val="FootnoteReference"/>
          <w:rFonts w:ascii="Times New Roman" w:eastAsia="Times New Roman" w:hAnsi="Times New Roman" w:cs="Times New Roman"/>
          <w:i/>
          <w:iCs/>
          <w:sz w:val="24"/>
          <w:szCs w:val="24"/>
          <w:lang w:val="en-US"/>
        </w:rPr>
        <w:footnoteReference w:id="57"/>
      </w:r>
      <w:r w:rsidRPr="00314F90">
        <w:rPr>
          <w:rFonts w:ascii="Times New Roman" w:eastAsia="Times New Roman" w:hAnsi="Times New Roman" w:cs="Times New Roman"/>
          <w:sz w:val="24"/>
          <w:szCs w:val="24"/>
          <w:lang w:val="en-US"/>
        </w:rPr>
        <w:t xml:space="preserve">; in the prison reform activism of the </w:t>
      </w:r>
      <w:r w:rsidRPr="00314F90">
        <w:rPr>
          <w:rFonts w:ascii="Times New Roman" w:eastAsia="Times New Roman" w:hAnsi="Times New Roman" w:cs="Times New Roman"/>
          <w:i/>
          <w:iCs/>
          <w:sz w:val="24"/>
          <w:szCs w:val="24"/>
          <w:lang w:val="en-US"/>
        </w:rPr>
        <w:t xml:space="preserve">Groupe </w:t>
      </w:r>
      <w:proofErr w:type="spellStart"/>
      <w:r w:rsidR="00493A84" w:rsidRPr="00493A84">
        <w:rPr>
          <w:rFonts w:ascii="Times New Roman" w:eastAsia="Times New Roman" w:hAnsi="Times New Roman" w:cs="Times New Roman"/>
          <w:i/>
          <w:iCs/>
          <w:sz w:val="24"/>
          <w:szCs w:val="24"/>
          <w:lang w:val="en-US"/>
        </w:rPr>
        <w:t>d’information</w:t>
      </w:r>
      <w:proofErr w:type="spellEnd"/>
      <w:r w:rsidRPr="00314F90">
        <w:rPr>
          <w:rFonts w:ascii="Times New Roman" w:eastAsia="Times New Roman" w:hAnsi="Times New Roman" w:cs="Times New Roman"/>
          <w:i/>
          <w:iCs/>
          <w:sz w:val="24"/>
          <w:szCs w:val="24"/>
          <w:lang w:val="en-US"/>
        </w:rPr>
        <w:t xml:space="preserve"> sur les prisons</w:t>
      </w:r>
      <w:r w:rsidRPr="00314F90">
        <w:rPr>
          <w:rFonts w:ascii="Times New Roman" w:eastAsia="Times New Roman" w:hAnsi="Times New Roman" w:cs="Times New Roman"/>
          <w:sz w:val="24"/>
          <w:szCs w:val="24"/>
          <w:lang w:val="en-US"/>
        </w:rPr>
        <w:t xml:space="preserve"> (GIP)</w:t>
      </w:r>
      <w:r w:rsidR="00E33CE4">
        <w:rPr>
          <w:rStyle w:val="FootnoteReference"/>
          <w:rFonts w:ascii="Times New Roman" w:eastAsia="Times New Roman" w:hAnsi="Times New Roman" w:cs="Times New Roman"/>
          <w:sz w:val="24"/>
          <w:szCs w:val="24"/>
          <w:lang w:val="en-US"/>
        </w:rPr>
        <w:footnoteReference w:id="58"/>
      </w:r>
      <w:r w:rsidRPr="00314F90">
        <w:rPr>
          <w:rFonts w:ascii="Times New Roman" w:eastAsia="Times New Roman" w:hAnsi="Times New Roman" w:cs="Times New Roman"/>
          <w:sz w:val="24"/>
          <w:szCs w:val="24"/>
          <w:lang w:val="en-US"/>
        </w:rPr>
        <w:t>; and even in the “spiritual politics” of the Iranian Revolution</w:t>
      </w:r>
      <w:r w:rsidR="00256BAE">
        <w:rPr>
          <w:rFonts w:ascii="Times New Roman" w:eastAsia="Times New Roman" w:hAnsi="Times New Roman" w:cs="Times New Roman"/>
          <w:sz w:val="24"/>
          <w:szCs w:val="24"/>
          <w:lang w:val="en-US"/>
        </w:rPr>
        <w:t>.</w:t>
      </w:r>
      <w:r w:rsidR="00256BAE">
        <w:rPr>
          <w:rStyle w:val="FootnoteReference"/>
          <w:rFonts w:ascii="Times New Roman" w:eastAsia="Times New Roman" w:hAnsi="Times New Roman" w:cs="Times New Roman"/>
          <w:sz w:val="24"/>
          <w:szCs w:val="24"/>
          <w:lang w:val="en-US"/>
        </w:rPr>
        <w:footnoteReference w:id="59"/>
      </w:r>
      <w:r w:rsidR="00256BAE">
        <w:rPr>
          <w:rFonts w:ascii="Times New Roman" w:eastAsia="Times New Roman" w:hAnsi="Times New Roman" w:cs="Times New Roman"/>
          <w:sz w:val="24"/>
          <w:szCs w:val="24"/>
          <w:lang w:val="en-US"/>
        </w:rPr>
        <w:t xml:space="preserve"> </w:t>
      </w:r>
      <w:r w:rsidRPr="00314F90">
        <w:rPr>
          <w:rFonts w:ascii="Times New Roman" w:eastAsia="Times New Roman" w:hAnsi="Times New Roman" w:cs="Times New Roman"/>
          <w:sz w:val="24"/>
          <w:szCs w:val="24"/>
          <w:lang w:val="en-US"/>
        </w:rPr>
        <w:t>Neoliberalism was simply one possible exit among many.</w:t>
      </w:r>
      <w:r w:rsidR="008A5646">
        <w:rPr>
          <w:rStyle w:val="FootnoteReference"/>
          <w:rFonts w:ascii="Times New Roman" w:eastAsia="Times New Roman" w:hAnsi="Times New Roman" w:cs="Times New Roman"/>
          <w:sz w:val="24"/>
          <w:szCs w:val="24"/>
          <w:lang w:val="en-US"/>
        </w:rPr>
        <w:footnoteReference w:id="60"/>
      </w:r>
      <w:r w:rsidRPr="00314F90">
        <w:rPr>
          <w:rFonts w:ascii="Times New Roman" w:eastAsia="Times New Roman" w:hAnsi="Times New Roman" w:cs="Times New Roman"/>
          <w:sz w:val="24"/>
          <w:szCs w:val="24"/>
          <w:lang w:val="en-US"/>
        </w:rPr>
        <w:t xml:space="preserve"> It was a pivotal theoretical moment because it reimagined the state as non-intrusive, yet it was merely one tactic in a broader strategic search for ways to “refuse what we are.”</w:t>
      </w:r>
    </w:p>
    <w:p w14:paraId="0000003A" w14:textId="28DB66AE" w:rsidR="00CC5992" w:rsidRPr="00314F90" w:rsidRDefault="00000000">
      <w:pPr>
        <w:spacing w:before="240" w:after="240" w:line="360" w:lineRule="auto"/>
        <w:rPr>
          <w:rFonts w:ascii="Times New Roman" w:eastAsia="Times New Roman" w:hAnsi="Times New Roman" w:cs="Times New Roman"/>
          <w:sz w:val="24"/>
          <w:szCs w:val="24"/>
          <w:lang w:val="en-US"/>
        </w:rPr>
      </w:pPr>
      <w:r w:rsidRPr="00314F90">
        <w:rPr>
          <w:rFonts w:ascii="Times New Roman" w:eastAsia="Times New Roman" w:hAnsi="Times New Roman" w:cs="Times New Roman"/>
          <w:sz w:val="24"/>
          <w:szCs w:val="24"/>
          <w:lang w:val="en-US"/>
        </w:rPr>
        <w:t xml:space="preserve">In his seminal essay </w:t>
      </w:r>
      <w:r w:rsidR="00BD6F59" w:rsidRPr="00BD6F59">
        <w:rPr>
          <w:rFonts w:ascii="Times New Roman" w:eastAsia="Times New Roman" w:hAnsi="Times New Roman" w:cs="Times New Roman"/>
          <w:sz w:val="24"/>
          <w:szCs w:val="24"/>
          <w:lang w:val="en-US"/>
        </w:rPr>
        <w:t>‘</w:t>
      </w:r>
      <w:r w:rsidRPr="00F15FAC">
        <w:rPr>
          <w:rFonts w:ascii="Times New Roman" w:eastAsia="Times New Roman" w:hAnsi="Times New Roman" w:cs="Times New Roman"/>
          <w:sz w:val="24"/>
          <w:szCs w:val="24"/>
          <w:lang w:val="en-US"/>
        </w:rPr>
        <w:t>The Subject and Power</w:t>
      </w:r>
      <w:r w:rsidR="00BD6F59" w:rsidRPr="00F15FAC">
        <w:rPr>
          <w:rFonts w:ascii="Times New Roman" w:eastAsia="Times New Roman" w:hAnsi="Times New Roman" w:cs="Times New Roman"/>
          <w:sz w:val="24"/>
          <w:szCs w:val="24"/>
          <w:lang w:val="en-US"/>
        </w:rPr>
        <w:t>’</w:t>
      </w:r>
      <w:r w:rsidRPr="00314F90">
        <w:rPr>
          <w:rFonts w:ascii="Times New Roman" w:eastAsia="Times New Roman" w:hAnsi="Times New Roman" w:cs="Times New Roman"/>
          <w:sz w:val="24"/>
          <w:szCs w:val="24"/>
          <w:lang w:val="en-US"/>
        </w:rPr>
        <w:t>, Foucault identifies a “double bind” peculiar to modern political rationality, namely, a “tricky combination in the same political structures of individualization techniques and of totalization procedures</w:t>
      </w:r>
      <w:r w:rsidR="008A5646">
        <w:rPr>
          <w:rFonts w:ascii="Times New Roman" w:eastAsia="Times New Roman" w:hAnsi="Times New Roman" w:cs="Times New Roman"/>
          <w:sz w:val="24"/>
          <w:szCs w:val="24"/>
          <w:lang w:val="en-US"/>
        </w:rPr>
        <w:t>.”</w:t>
      </w:r>
      <w:r w:rsidR="008A5646">
        <w:rPr>
          <w:rStyle w:val="FootnoteReference"/>
          <w:rFonts w:ascii="Times New Roman" w:eastAsia="Times New Roman" w:hAnsi="Times New Roman" w:cs="Times New Roman"/>
          <w:sz w:val="24"/>
          <w:szCs w:val="24"/>
          <w:lang w:val="en-US"/>
        </w:rPr>
        <w:footnoteReference w:id="61"/>
      </w:r>
      <w:r w:rsidRPr="00314F90">
        <w:rPr>
          <w:rFonts w:ascii="Times New Roman" w:eastAsia="Times New Roman" w:hAnsi="Times New Roman" w:cs="Times New Roman"/>
          <w:sz w:val="24"/>
          <w:szCs w:val="24"/>
          <w:lang w:val="en-US"/>
        </w:rPr>
        <w:t xml:space="preserve"> We are “</w:t>
      </w:r>
      <w:proofErr w:type="spellStart"/>
      <w:r w:rsidRPr="00314F90">
        <w:rPr>
          <w:rFonts w:ascii="Times New Roman" w:eastAsia="Times New Roman" w:hAnsi="Times New Roman" w:cs="Times New Roman"/>
          <w:sz w:val="24"/>
          <w:szCs w:val="24"/>
          <w:lang w:val="en-US"/>
        </w:rPr>
        <w:t>totalised</w:t>
      </w:r>
      <w:proofErr w:type="spellEnd"/>
      <w:r w:rsidRPr="00314F90">
        <w:rPr>
          <w:rFonts w:ascii="Times New Roman" w:eastAsia="Times New Roman" w:hAnsi="Times New Roman" w:cs="Times New Roman"/>
          <w:sz w:val="24"/>
          <w:szCs w:val="24"/>
          <w:lang w:val="en-US"/>
        </w:rPr>
        <w:t xml:space="preserve">” by the </w:t>
      </w:r>
      <w:r w:rsidRPr="00314F90">
        <w:rPr>
          <w:rFonts w:ascii="Times New Roman" w:eastAsia="Times New Roman" w:hAnsi="Times New Roman" w:cs="Times New Roman"/>
          <w:sz w:val="24"/>
          <w:szCs w:val="24"/>
          <w:lang w:val="en-US"/>
        </w:rPr>
        <w:lastRenderedPageBreak/>
        <w:t>biopolitical management of the population (as data points in a herd) yet simultaneously “</w:t>
      </w:r>
      <w:proofErr w:type="spellStart"/>
      <w:r w:rsidRPr="00314F90">
        <w:rPr>
          <w:rFonts w:ascii="Times New Roman" w:eastAsia="Times New Roman" w:hAnsi="Times New Roman" w:cs="Times New Roman"/>
          <w:sz w:val="24"/>
          <w:szCs w:val="24"/>
          <w:lang w:val="en-US"/>
        </w:rPr>
        <w:t>individualised</w:t>
      </w:r>
      <w:proofErr w:type="spellEnd"/>
      <w:r w:rsidRPr="00314F90">
        <w:rPr>
          <w:rFonts w:ascii="Times New Roman" w:eastAsia="Times New Roman" w:hAnsi="Times New Roman" w:cs="Times New Roman"/>
          <w:sz w:val="24"/>
          <w:szCs w:val="24"/>
          <w:lang w:val="en-US"/>
        </w:rPr>
        <w:t xml:space="preserve">” by pastoral techniques (as subjects tied to a specific identity, diagnosis, or truth). </w:t>
      </w:r>
      <w:r w:rsidR="00B43BE4" w:rsidRPr="00B43BE4">
        <w:rPr>
          <w:rFonts w:ascii="Times New Roman" w:eastAsia="Times New Roman" w:hAnsi="Times New Roman" w:cs="Times New Roman"/>
          <w:sz w:val="24"/>
          <w:szCs w:val="24"/>
          <w:lang w:val="en-US"/>
        </w:rPr>
        <w:t xml:space="preserve">As interpreters like Mark Pennington have argued, drawing </w:t>
      </w:r>
      <w:r w:rsidR="00B43BE4">
        <w:rPr>
          <w:rFonts w:ascii="Times New Roman" w:eastAsia="Times New Roman" w:hAnsi="Times New Roman" w:cs="Times New Roman"/>
          <w:sz w:val="24"/>
          <w:szCs w:val="24"/>
          <w:lang w:val="en-US"/>
        </w:rPr>
        <w:t xml:space="preserve">directly </w:t>
      </w:r>
      <w:r w:rsidR="00B43BE4" w:rsidRPr="00B43BE4">
        <w:rPr>
          <w:rFonts w:ascii="Times New Roman" w:eastAsia="Times New Roman" w:hAnsi="Times New Roman" w:cs="Times New Roman"/>
          <w:sz w:val="24"/>
          <w:szCs w:val="24"/>
          <w:lang w:val="en-US"/>
        </w:rPr>
        <w:t>on Foucault</w:t>
      </w:r>
      <w:r w:rsidR="00B43BE4">
        <w:rPr>
          <w:rFonts w:ascii="Times New Roman" w:eastAsia="Times New Roman" w:hAnsi="Times New Roman" w:cs="Times New Roman"/>
          <w:sz w:val="24"/>
          <w:szCs w:val="24"/>
          <w:lang w:val="en-US"/>
        </w:rPr>
        <w:t>’s lectures, n</w:t>
      </w:r>
      <w:r w:rsidRPr="00314F90">
        <w:rPr>
          <w:rFonts w:ascii="Times New Roman" w:eastAsia="Times New Roman" w:hAnsi="Times New Roman" w:cs="Times New Roman"/>
          <w:sz w:val="24"/>
          <w:szCs w:val="24"/>
          <w:lang w:val="en-US"/>
        </w:rPr>
        <w:t>eoliberalism may offer a partial exit from the pastoral aspect of this bind, but the broader problem of state justification remains.</w:t>
      </w:r>
      <w:r w:rsidR="00B43BE4">
        <w:rPr>
          <w:rStyle w:val="FootnoteReference"/>
          <w:rFonts w:ascii="Times New Roman" w:eastAsia="Times New Roman" w:hAnsi="Times New Roman" w:cs="Times New Roman"/>
          <w:sz w:val="24"/>
          <w:szCs w:val="24"/>
          <w:lang w:val="en-US"/>
        </w:rPr>
        <w:footnoteReference w:id="62"/>
      </w:r>
      <w:r w:rsidRPr="00314F90">
        <w:rPr>
          <w:rFonts w:ascii="Times New Roman" w:eastAsia="Times New Roman" w:hAnsi="Times New Roman" w:cs="Times New Roman"/>
          <w:sz w:val="24"/>
          <w:szCs w:val="24"/>
          <w:lang w:val="en-US"/>
        </w:rPr>
        <w:t xml:space="preserve"> If the state justifies itself by claiming to know and manage our truth, whether through the </w:t>
      </w:r>
      <w:proofErr w:type="spellStart"/>
      <w:r w:rsidRPr="00314F90">
        <w:rPr>
          <w:rFonts w:ascii="Times New Roman" w:eastAsia="Times New Roman" w:hAnsi="Times New Roman" w:cs="Times New Roman"/>
          <w:sz w:val="24"/>
          <w:szCs w:val="24"/>
          <w:lang w:val="en-US"/>
        </w:rPr>
        <w:t>totalising</w:t>
      </w:r>
      <w:proofErr w:type="spellEnd"/>
      <w:r w:rsidRPr="00314F90">
        <w:rPr>
          <w:rFonts w:ascii="Times New Roman" w:eastAsia="Times New Roman" w:hAnsi="Times New Roman" w:cs="Times New Roman"/>
          <w:sz w:val="24"/>
          <w:szCs w:val="24"/>
          <w:lang w:val="en-US"/>
        </w:rPr>
        <w:t xml:space="preserve"> metrics of public health or the </w:t>
      </w:r>
      <w:proofErr w:type="spellStart"/>
      <w:r w:rsidRPr="00314F90">
        <w:rPr>
          <w:rFonts w:ascii="Times New Roman" w:eastAsia="Times New Roman" w:hAnsi="Times New Roman" w:cs="Times New Roman"/>
          <w:sz w:val="24"/>
          <w:szCs w:val="24"/>
          <w:lang w:val="en-US"/>
        </w:rPr>
        <w:t>individualising</w:t>
      </w:r>
      <w:proofErr w:type="spellEnd"/>
      <w:r w:rsidRPr="00314F90">
        <w:rPr>
          <w:rFonts w:ascii="Times New Roman" w:eastAsia="Times New Roman" w:hAnsi="Times New Roman" w:cs="Times New Roman"/>
          <w:sz w:val="24"/>
          <w:szCs w:val="24"/>
          <w:lang w:val="en-US"/>
        </w:rPr>
        <w:t xml:space="preserve"> categories of identity, then resistance cannot simply be a matter of “liberation” in the Marxist sense of seizing the state apparatus. Foucault explicitly warns that “the political, ethical, social, philosophical problem of our days is not to try to liberate the individual from the state... but to liberate us both from the state and from the type of </w:t>
      </w:r>
      <w:proofErr w:type="spellStart"/>
      <w:r w:rsidRPr="00314F90">
        <w:rPr>
          <w:rFonts w:ascii="Times New Roman" w:eastAsia="Times New Roman" w:hAnsi="Times New Roman" w:cs="Times New Roman"/>
          <w:sz w:val="24"/>
          <w:szCs w:val="24"/>
          <w:lang w:val="en-US"/>
        </w:rPr>
        <w:t>individualisation</w:t>
      </w:r>
      <w:proofErr w:type="spellEnd"/>
      <w:r w:rsidRPr="00314F90">
        <w:rPr>
          <w:rFonts w:ascii="Times New Roman" w:eastAsia="Times New Roman" w:hAnsi="Times New Roman" w:cs="Times New Roman"/>
          <w:sz w:val="24"/>
          <w:szCs w:val="24"/>
          <w:lang w:val="en-US"/>
        </w:rPr>
        <w:t xml:space="preserve"> which is linked to the stat</w:t>
      </w:r>
      <w:r w:rsidR="00C17F00">
        <w:rPr>
          <w:rFonts w:ascii="Times New Roman" w:eastAsia="Times New Roman" w:hAnsi="Times New Roman" w:cs="Times New Roman"/>
          <w:sz w:val="24"/>
          <w:szCs w:val="24"/>
          <w:lang w:val="en-US"/>
        </w:rPr>
        <w:t>e.”</w:t>
      </w:r>
      <w:r w:rsidR="00C17F00">
        <w:rPr>
          <w:rStyle w:val="FootnoteReference"/>
          <w:rFonts w:ascii="Times New Roman" w:eastAsia="Times New Roman" w:hAnsi="Times New Roman" w:cs="Times New Roman"/>
          <w:sz w:val="24"/>
          <w:szCs w:val="24"/>
          <w:lang w:val="en-US"/>
        </w:rPr>
        <w:footnoteReference w:id="63"/>
      </w:r>
    </w:p>
    <w:p w14:paraId="0000003B" w14:textId="77A8D2C1" w:rsidR="00CC5992" w:rsidRPr="00314F90" w:rsidRDefault="00000000">
      <w:pPr>
        <w:spacing w:before="240" w:after="240" w:line="360" w:lineRule="auto"/>
        <w:rPr>
          <w:rFonts w:ascii="Times New Roman" w:eastAsia="Times New Roman" w:hAnsi="Times New Roman" w:cs="Times New Roman"/>
          <w:sz w:val="24"/>
          <w:szCs w:val="24"/>
          <w:lang w:val="en-US"/>
        </w:rPr>
      </w:pPr>
      <w:r w:rsidRPr="00314F90">
        <w:rPr>
          <w:rFonts w:ascii="Times New Roman" w:eastAsia="Times New Roman" w:hAnsi="Times New Roman" w:cs="Times New Roman"/>
          <w:sz w:val="24"/>
          <w:szCs w:val="24"/>
          <w:lang w:val="en-US"/>
        </w:rPr>
        <w:t xml:space="preserve">This brings us to the core of Foucault’s normative contribution, which we have termed </w:t>
      </w:r>
      <w:r w:rsidRPr="00314F90">
        <w:rPr>
          <w:rFonts w:ascii="Times New Roman" w:eastAsia="Times New Roman" w:hAnsi="Times New Roman" w:cs="Times New Roman"/>
          <w:i/>
          <w:iCs/>
          <w:sz w:val="24"/>
          <w:szCs w:val="24"/>
          <w:lang w:val="en-US"/>
        </w:rPr>
        <w:t>Mode C</w:t>
      </w:r>
      <w:r w:rsidRPr="00314F90">
        <w:rPr>
          <w:rFonts w:ascii="Times New Roman" w:eastAsia="Times New Roman" w:hAnsi="Times New Roman" w:cs="Times New Roman"/>
          <w:sz w:val="24"/>
          <w:szCs w:val="24"/>
          <w:lang w:val="en-US"/>
        </w:rPr>
        <w:t>. If Foucault</w:t>
      </w:r>
      <w:r w:rsidR="008F307B">
        <w:rPr>
          <w:rFonts w:ascii="Times New Roman" w:eastAsia="Times New Roman" w:hAnsi="Times New Roman" w:cs="Times New Roman"/>
          <w:sz w:val="24"/>
          <w:szCs w:val="24"/>
          <w:lang w:val="en-US"/>
        </w:rPr>
        <w:t xml:space="preserve"> mostly</w:t>
      </w:r>
      <w:r w:rsidRPr="00314F90">
        <w:rPr>
          <w:rFonts w:ascii="Times New Roman" w:eastAsia="Times New Roman" w:hAnsi="Times New Roman" w:cs="Times New Roman"/>
          <w:sz w:val="24"/>
          <w:szCs w:val="24"/>
          <w:lang w:val="en-US"/>
        </w:rPr>
        <w:t xml:space="preserve"> refuses the </w:t>
      </w:r>
      <w:r w:rsidRPr="00314F90">
        <w:rPr>
          <w:rFonts w:ascii="Times New Roman" w:eastAsia="Times New Roman" w:hAnsi="Times New Roman" w:cs="Times New Roman"/>
          <w:i/>
          <w:iCs/>
          <w:sz w:val="24"/>
          <w:szCs w:val="24"/>
          <w:lang w:val="en-US"/>
        </w:rPr>
        <w:t>Mode A</w:t>
      </w:r>
      <w:r w:rsidRPr="00314F90">
        <w:rPr>
          <w:rFonts w:ascii="Times New Roman" w:eastAsia="Times New Roman" w:hAnsi="Times New Roman" w:cs="Times New Roman"/>
          <w:sz w:val="24"/>
          <w:szCs w:val="24"/>
          <w:lang w:val="en-US"/>
        </w:rPr>
        <w:t xml:space="preserve"> path of articulating a positive normative vision, what form can Foucauldian resistance take? It emerges as a “critical attitude” that combines three distinct philosophical lineages into a new practice of freedom:</w:t>
      </w:r>
    </w:p>
    <w:p w14:paraId="0000003C" w14:textId="000D728F" w:rsidR="00CC5992" w:rsidRPr="00314F90" w:rsidRDefault="00000000">
      <w:pPr>
        <w:numPr>
          <w:ilvl w:val="0"/>
          <w:numId w:val="3"/>
        </w:numPr>
        <w:spacing w:before="240" w:line="360" w:lineRule="auto"/>
        <w:rPr>
          <w:rFonts w:ascii="Times New Roman" w:eastAsia="Times New Roman" w:hAnsi="Times New Roman" w:cs="Times New Roman"/>
          <w:sz w:val="24"/>
          <w:szCs w:val="24"/>
          <w:lang w:val="en-US"/>
        </w:rPr>
      </w:pPr>
      <w:r w:rsidRPr="00314F90">
        <w:rPr>
          <w:rFonts w:ascii="Times New Roman" w:eastAsia="Times New Roman" w:hAnsi="Times New Roman" w:cs="Times New Roman"/>
          <w:i/>
          <w:iCs/>
          <w:sz w:val="24"/>
          <w:szCs w:val="24"/>
          <w:lang w:val="en-US"/>
        </w:rPr>
        <w:t>Kantian critique</w:t>
      </w:r>
      <w:r w:rsidRPr="00314F90">
        <w:rPr>
          <w:rFonts w:ascii="Times New Roman" w:eastAsia="Times New Roman" w:hAnsi="Times New Roman" w:cs="Times New Roman"/>
          <w:b/>
          <w:bCs/>
          <w:sz w:val="24"/>
          <w:szCs w:val="24"/>
          <w:lang w:val="en-US"/>
        </w:rPr>
        <w:t>.</w:t>
      </w:r>
      <w:r w:rsidRPr="00314F90">
        <w:rPr>
          <w:rFonts w:ascii="Times New Roman" w:eastAsia="Times New Roman" w:hAnsi="Times New Roman" w:cs="Times New Roman"/>
          <w:sz w:val="24"/>
          <w:szCs w:val="24"/>
          <w:lang w:val="en-US"/>
        </w:rPr>
        <w:t xml:space="preserve"> Foucault explicitly aligned his project with Kant’s definition of enlightenment as an </w:t>
      </w:r>
      <w:proofErr w:type="spellStart"/>
      <w:r w:rsidRPr="00314F90">
        <w:rPr>
          <w:rFonts w:ascii="Times New Roman" w:eastAsia="Times New Roman" w:hAnsi="Times New Roman" w:cs="Times New Roman"/>
          <w:i/>
          <w:iCs/>
          <w:sz w:val="24"/>
          <w:szCs w:val="24"/>
          <w:lang w:val="en-US"/>
        </w:rPr>
        <w:t>Ausgang</w:t>
      </w:r>
      <w:proofErr w:type="spellEnd"/>
      <w:r w:rsidRPr="00314F90">
        <w:rPr>
          <w:rFonts w:ascii="Times New Roman" w:eastAsia="Times New Roman" w:hAnsi="Times New Roman" w:cs="Times New Roman"/>
          <w:sz w:val="24"/>
          <w:szCs w:val="24"/>
          <w:lang w:val="en-US"/>
        </w:rPr>
        <w:t xml:space="preserve"> or “way out.”</w:t>
      </w:r>
      <w:r w:rsidR="00C17F00">
        <w:rPr>
          <w:rStyle w:val="FootnoteReference"/>
          <w:rFonts w:ascii="Times New Roman" w:eastAsia="Times New Roman" w:hAnsi="Times New Roman" w:cs="Times New Roman"/>
          <w:sz w:val="24"/>
          <w:szCs w:val="24"/>
          <w:lang w:val="en-US"/>
        </w:rPr>
        <w:footnoteReference w:id="64"/>
      </w:r>
      <w:r w:rsidRPr="00314F90">
        <w:rPr>
          <w:rFonts w:ascii="Times New Roman" w:eastAsia="Times New Roman" w:hAnsi="Times New Roman" w:cs="Times New Roman"/>
          <w:sz w:val="24"/>
          <w:szCs w:val="24"/>
          <w:lang w:val="en-US"/>
        </w:rPr>
        <w:t xml:space="preserve"> However, whereas Kant sought universal structures of reason, Foucault seeks a “critical ontology of ourselves.</w:t>
      </w:r>
      <w:r w:rsidR="00632672">
        <w:rPr>
          <w:rFonts w:ascii="Times New Roman" w:eastAsia="Times New Roman" w:hAnsi="Times New Roman" w:cs="Times New Roman"/>
          <w:sz w:val="24"/>
          <w:szCs w:val="24"/>
          <w:lang w:val="en-US"/>
        </w:rPr>
        <w:t>”</w:t>
      </w:r>
      <w:r w:rsidR="00632672">
        <w:rPr>
          <w:rStyle w:val="FootnoteReference"/>
          <w:rFonts w:ascii="Times New Roman" w:eastAsia="Times New Roman" w:hAnsi="Times New Roman" w:cs="Times New Roman"/>
          <w:sz w:val="24"/>
          <w:szCs w:val="24"/>
          <w:lang w:val="en-US"/>
        </w:rPr>
        <w:footnoteReference w:id="65"/>
      </w:r>
      <w:r w:rsidRPr="00314F90">
        <w:rPr>
          <w:rFonts w:ascii="Times New Roman" w:eastAsia="Times New Roman" w:hAnsi="Times New Roman" w:cs="Times New Roman"/>
          <w:sz w:val="24"/>
          <w:szCs w:val="24"/>
          <w:lang w:val="en-US"/>
        </w:rPr>
        <w:t xml:space="preserve"> The goal is to question the “limits that are imposed on us” and to experiment with “the possibility of no longer being, doing, or thinking what we are, do, or think</w:t>
      </w:r>
      <w:r w:rsidR="00B7163B">
        <w:rPr>
          <w:rFonts w:ascii="Times New Roman" w:eastAsia="Times New Roman" w:hAnsi="Times New Roman" w:cs="Times New Roman"/>
          <w:sz w:val="24"/>
          <w:szCs w:val="24"/>
          <w:lang w:val="en-US"/>
        </w:rPr>
        <w:t>.”</w:t>
      </w:r>
      <w:r w:rsidR="00B7163B">
        <w:rPr>
          <w:rStyle w:val="FootnoteReference"/>
          <w:rFonts w:ascii="Times New Roman" w:eastAsia="Times New Roman" w:hAnsi="Times New Roman" w:cs="Times New Roman"/>
          <w:sz w:val="24"/>
          <w:szCs w:val="24"/>
          <w:lang w:val="en-US"/>
        </w:rPr>
        <w:footnoteReference w:id="66"/>
      </w:r>
    </w:p>
    <w:p w14:paraId="0000003D" w14:textId="0A08982D" w:rsidR="00CC5992" w:rsidRPr="00314F90" w:rsidRDefault="00000000">
      <w:pPr>
        <w:numPr>
          <w:ilvl w:val="0"/>
          <w:numId w:val="3"/>
        </w:numPr>
        <w:spacing w:line="360" w:lineRule="auto"/>
        <w:rPr>
          <w:rFonts w:ascii="Times New Roman" w:eastAsia="Times New Roman" w:hAnsi="Times New Roman" w:cs="Times New Roman"/>
          <w:sz w:val="24"/>
          <w:szCs w:val="24"/>
          <w:lang w:val="en-US"/>
        </w:rPr>
      </w:pPr>
      <w:r w:rsidRPr="00314F90">
        <w:rPr>
          <w:rFonts w:ascii="Times New Roman" w:eastAsia="Times New Roman" w:hAnsi="Times New Roman" w:cs="Times New Roman"/>
          <w:i/>
          <w:iCs/>
          <w:sz w:val="24"/>
          <w:szCs w:val="24"/>
          <w:lang w:val="en-US"/>
        </w:rPr>
        <w:t>Nietzschean genealogy</w:t>
      </w:r>
      <w:r w:rsidRPr="00314F90">
        <w:rPr>
          <w:rFonts w:ascii="Times New Roman" w:eastAsia="Times New Roman" w:hAnsi="Times New Roman" w:cs="Times New Roman"/>
          <w:b/>
          <w:bCs/>
          <w:sz w:val="24"/>
          <w:szCs w:val="24"/>
          <w:lang w:val="en-US"/>
        </w:rPr>
        <w:t>.</w:t>
      </w:r>
      <w:r w:rsidRPr="00314F90">
        <w:rPr>
          <w:rFonts w:ascii="Times New Roman" w:eastAsia="Times New Roman" w:hAnsi="Times New Roman" w:cs="Times New Roman"/>
          <w:sz w:val="24"/>
          <w:szCs w:val="24"/>
          <w:lang w:val="en-US"/>
        </w:rPr>
        <w:t xml:space="preserve"> This Kantian attitude is </w:t>
      </w:r>
      <w:proofErr w:type="spellStart"/>
      <w:r w:rsidRPr="00314F90">
        <w:rPr>
          <w:rFonts w:ascii="Times New Roman" w:eastAsia="Times New Roman" w:hAnsi="Times New Roman" w:cs="Times New Roman"/>
          <w:sz w:val="24"/>
          <w:szCs w:val="24"/>
          <w:lang w:val="en-US"/>
        </w:rPr>
        <w:t>radicalised</w:t>
      </w:r>
      <w:proofErr w:type="spellEnd"/>
      <w:r w:rsidRPr="00314F90">
        <w:rPr>
          <w:rFonts w:ascii="Times New Roman" w:eastAsia="Times New Roman" w:hAnsi="Times New Roman" w:cs="Times New Roman"/>
          <w:sz w:val="24"/>
          <w:szCs w:val="24"/>
          <w:lang w:val="en-US"/>
        </w:rPr>
        <w:t xml:space="preserve"> by Nietzschean </w:t>
      </w:r>
      <w:proofErr w:type="spellStart"/>
      <w:r w:rsidRPr="00314F90">
        <w:rPr>
          <w:rFonts w:ascii="Times New Roman" w:eastAsia="Times New Roman" w:hAnsi="Times New Roman" w:cs="Times New Roman"/>
          <w:sz w:val="24"/>
          <w:szCs w:val="24"/>
          <w:lang w:val="en-US"/>
        </w:rPr>
        <w:t>perspectivalism</w:t>
      </w:r>
      <w:proofErr w:type="spellEnd"/>
      <w:r w:rsidRPr="00314F90">
        <w:rPr>
          <w:rFonts w:ascii="Times New Roman" w:eastAsia="Times New Roman" w:hAnsi="Times New Roman" w:cs="Times New Roman"/>
          <w:sz w:val="24"/>
          <w:szCs w:val="24"/>
          <w:lang w:val="en-US"/>
        </w:rPr>
        <w:t>, which helps us to identify a “way out” by first identifying how we are currently “trapped in.” Genealogy is the critical study of the historical origins and foundations of our social ontology. By revealing that our current regime of truth is historically contingent</w:t>
      </w:r>
      <w:r w:rsidR="00716BF1">
        <w:rPr>
          <w:rFonts w:ascii="Times New Roman" w:eastAsia="Times New Roman" w:hAnsi="Times New Roman" w:cs="Times New Roman"/>
          <w:sz w:val="24"/>
          <w:szCs w:val="24"/>
          <w:lang w:val="en-GB"/>
        </w:rPr>
        <w:t xml:space="preserve">, </w:t>
      </w:r>
      <w:r w:rsidRPr="00314F90">
        <w:rPr>
          <w:rFonts w:ascii="Times New Roman" w:eastAsia="Times New Roman" w:hAnsi="Times New Roman" w:cs="Times New Roman"/>
          <w:sz w:val="24"/>
          <w:szCs w:val="24"/>
          <w:lang w:val="en-US"/>
        </w:rPr>
        <w:t>rather than given to us as “natural</w:t>
      </w:r>
      <w:r w:rsidR="00716BF1">
        <w:rPr>
          <w:rFonts w:ascii="Times New Roman" w:eastAsia="Times New Roman" w:hAnsi="Times New Roman" w:cs="Times New Roman"/>
          <w:sz w:val="24"/>
          <w:szCs w:val="24"/>
          <w:lang w:val="en-US"/>
        </w:rPr>
        <w:t xml:space="preserve">,” </w:t>
      </w:r>
      <w:r w:rsidRPr="00314F90">
        <w:rPr>
          <w:rFonts w:ascii="Times New Roman" w:eastAsia="Times New Roman" w:hAnsi="Times New Roman" w:cs="Times New Roman"/>
          <w:sz w:val="24"/>
          <w:szCs w:val="24"/>
          <w:lang w:val="en-US"/>
        </w:rPr>
        <w:t xml:space="preserve">Foucauldian critique opens the </w:t>
      </w:r>
      <w:r w:rsidRPr="00E26CA9">
        <w:rPr>
          <w:rFonts w:ascii="Times New Roman" w:eastAsia="Times New Roman" w:hAnsi="Times New Roman" w:cs="Times New Roman"/>
          <w:sz w:val="24"/>
          <w:szCs w:val="24"/>
          <w:lang w:val="en-US"/>
        </w:rPr>
        <w:t>space for thinking and acting differently</w:t>
      </w:r>
      <w:r w:rsidR="00B7163B">
        <w:rPr>
          <w:rFonts w:ascii="Times New Roman" w:eastAsia="Times New Roman" w:hAnsi="Times New Roman" w:cs="Times New Roman"/>
          <w:sz w:val="24"/>
          <w:szCs w:val="24"/>
          <w:lang w:val="en-US"/>
        </w:rPr>
        <w:t>.</w:t>
      </w:r>
      <w:r w:rsidR="00B7163B">
        <w:rPr>
          <w:rStyle w:val="FootnoteReference"/>
          <w:rFonts w:ascii="Times New Roman" w:eastAsia="Times New Roman" w:hAnsi="Times New Roman" w:cs="Times New Roman"/>
          <w:sz w:val="24"/>
          <w:szCs w:val="24"/>
          <w:lang w:val="en-US"/>
        </w:rPr>
        <w:footnoteReference w:id="67"/>
      </w:r>
    </w:p>
    <w:p w14:paraId="0000003E" w14:textId="6E280201" w:rsidR="00CC5992" w:rsidRPr="00314F90" w:rsidRDefault="00000000">
      <w:pPr>
        <w:numPr>
          <w:ilvl w:val="0"/>
          <w:numId w:val="3"/>
        </w:numPr>
        <w:spacing w:after="240" w:line="360" w:lineRule="auto"/>
        <w:rPr>
          <w:rFonts w:ascii="Times New Roman" w:eastAsia="Times New Roman" w:hAnsi="Times New Roman" w:cs="Times New Roman"/>
          <w:sz w:val="24"/>
          <w:szCs w:val="24"/>
          <w:lang w:val="en-US"/>
        </w:rPr>
      </w:pPr>
      <w:r w:rsidRPr="00314F90">
        <w:rPr>
          <w:rFonts w:ascii="Times New Roman" w:eastAsia="Times New Roman" w:hAnsi="Times New Roman" w:cs="Times New Roman"/>
          <w:i/>
          <w:iCs/>
          <w:sz w:val="24"/>
          <w:szCs w:val="24"/>
          <w:lang w:val="en-US"/>
        </w:rPr>
        <w:lastRenderedPageBreak/>
        <w:t>Resistance politics</w:t>
      </w:r>
      <w:r w:rsidRPr="00314F90">
        <w:rPr>
          <w:rFonts w:ascii="Times New Roman" w:eastAsia="Times New Roman" w:hAnsi="Times New Roman" w:cs="Times New Roman"/>
          <w:b/>
          <w:bCs/>
          <w:sz w:val="24"/>
          <w:szCs w:val="24"/>
          <w:lang w:val="en-US"/>
        </w:rPr>
        <w:t>.</w:t>
      </w:r>
      <w:r w:rsidRPr="00314F90">
        <w:rPr>
          <w:rFonts w:ascii="Times New Roman" w:eastAsia="Times New Roman" w:hAnsi="Times New Roman" w:cs="Times New Roman"/>
          <w:sz w:val="24"/>
          <w:szCs w:val="24"/>
          <w:lang w:val="en-US"/>
        </w:rPr>
        <w:t xml:space="preserve"> Finally, in his positive recommendations for the practice of resistance, Foucault explicitly rejects the Marxist dream of the “Big Revolution” that captures the state. As Dean </w:t>
      </w:r>
      <w:r w:rsidR="00D8491B">
        <w:rPr>
          <w:rFonts w:ascii="Times New Roman" w:eastAsia="Times New Roman" w:hAnsi="Times New Roman" w:cs="Times New Roman"/>
          <w:sz w:val="24"/>
          <w:szCs w:val="24"/>
          <w:lang w:val="en-US"/>
        </w:rPr>
        <w:t>and</w:t>
      </w:r>
      <w:r w:rsidRPr="00314F90">
        <w:rPr>
          <w:rFonts w:ascii="Times New Roman" w:eastAsia="Times New Roman" w:hAnsi="Times New Roman" w:cs="Times New Roman"/>
          <w:sz w:val="24"/>
          <w:szCs w:val="24"/>
          <w:lang w:val="en-US"/>
        </w:rPr>
        <w:t xml:space="preserve"> Zamora observe, Foucault’s </w:t>
      </w:r>
      <w:proofErr w:type="spellStart"/>
      <w:r w:rsidRPr="00314F90">
        <w:rPr>
          <w:rFonts w:ascii="Times New Roman" w:eastAsia="Times New Roman" w:hAnsi="Times New Roman" w:cs="Times New Roman"/>
          <w:sz w:val="24"/>
          <w:szCs w:val="24"/>
          <w:lang w:val="en-US"/>
        </w:rPr>
        <w:t>scepticism</w:t>
      </w:r>
      <w:proofErr w:type="spellEnd"/>
      <w:r w:rsidRPr="00314F90">
        <w:rPr>
          <w:rFonts w:ascii="Times New Roman" w:eastAsia="Times New Roman" w:hAnsi="Times New Roman" w:cs="Times New Roman"/>
          <w:sz w:val="24"/>
          <w:szCs w:val="24"/>
          <w:lang w:val="en-US"/>
        </w:rPr>
        <w:t xml:space="preserve"> of the “Party” and the “State” leads him toward an anarcho-libertarian ethos of bottom-up politics.</w:t>
      </w:r>
      <w:r w:rsidR="00306157">
        <w:rPr>
          <w:rStyle w:val="FootnoteReference"/>
          <w:rFonts w:ascii="Times New Roman" w:eastAsia="Times New Roman" w:hAnsi="Times New Roman" w:cs="Times New Roman"/>
          <w:sz w:val="24"/>
          <w:szCs w:val="24"/>
          <w:lang w:val="en-US"/>
        </w:rPr>
        <w:footnoteReference w:id="68"/>
      </w:r>
      <w:r w:rsidRPr="00314F90">
        <w:rPr>
          <w:rFonts w:ascii="Times New Roman" w:eastAsia="Times New Roman" w:hAnsi="Times New Roman" w:cs="Times New Roman"/>
          <w:sz w:val="24"/>
          <w:szCs w:val="24"/>
          <w:lang w:val="en-US"/>
        </w:rPr>
        <w:t xml:space="preserve"> This path is closer to James C. Scott’s </w:t>
      </w:r>
      <w:r w:rsidRPr="00314F90">
        <w:rPr>
          <w:rFonts w:ascii="Times New Roman" w:eastAsia="Times New Roman" w:hAnsi="Times New Roman" w:cs="Times New Roman"/>
          <w:i/>
          <w:iCs/>
          <w:sz w:val="24"/>
          <w:szCs w:val="24"/>
          <w:lang w:val="en-US"/>
        </w:rPr>
        <w:t>art of resistance</w:t>
      </w:r>
      <w:r w:rsidR="00C61353">
        <w:rPr>
          <w:rStyle w:val="FootnoteReference"/>
          <w:rFonts w:ascii="Times New Roman" w:eastAsia="Times New Roman" w:hAnsi="Times New Roman" w:cs="Times New Roman"/>
          <w:i/>
          <w:iCs/>
          <w:sz w:val="24"/>
          <w:szCs w:val="24"/>
          <w:lang w:val="en-US"/>
        </w:rPr>
        <w:footnoteReference w:id="69"/>
      </w:r>
      <w:r w:rsidRPr="00314F90">
        <w:rPr>
          <w:rFonts w:ascii="Times New Roman" w:eastAsia="Times New Roman" w:hAnsi="Times New Roman" w:cs="Times New Roman"/>
          <w:sz w:val="24"/>
          <w:szCs w:val="24"/>
          <w:lang w:val="en-US"/>
        </w:rPr>
        <w:t xml:space="preserve"> than the Marxist pathway of taking over the state apparatus. Resistance is </w:t>
      </w:r>
      <w:proofErr w:type="spellStart"/>
      <w:r w:rsidRPr="00314F90">
        <w:rPr>
          <w:rFonts w:ascii="Times New Roman" w:eastAsia="Times New Roman" w:hAnsi="Times New Roman" w:cs="Times New Roman"/>
          <w:sz w:val="24"/>
          <w:szCs w:val="24"/>
          <w:lang w:val="en-US"/>
        </w:rPr>
        <w:t>visualised</w:t>
      </w:r>
      <w:proofErr w:type="spellEnd"/>
      <w:r w:rsidRPr="00314F90">
        <w:rPr>
          <w:rFonts w:ascii="Times New Roman" w:eastAsia="Times New Roman" w:hAnsi="Times New Roman" w:cs="Times New Roman"/>
          <w:sz w:val="24"/>
          <w:szCs w:val="24"/>
          <w:lang w:val="en-US"/>
        </w:rPr>
        <w:t xml:space="preserve"> not as a future cataclysm but as a “chemical catalyst” used to bring to light power relations in the here and now</w:t>
      </w:r>
      <w:r w:rsidR="00AD0AF0">
        <w:rPr>
          <w:rFonts w:ascii="Times New Roman" w:eastAsia="Times New Roman" w:hAnsi="Times New Roman" w:cs="Times New Roman"/>
          <w:sz w:val="24"/>
          <w:szCs w:val="24"/>
          <w:lang w:val="en-US"/>
        </w:rPr>
        <w:t>.</w:t>
      </w:r>
      <w:r w:rsidR="00AD0AF0">
        <w:rPr>
          <w:rStyle w:val="FootnoteReference"/>
          <w:rFonts w:ascii="Times New Roman" w:eastAsia="Times New Roman" w:hAnsi="Times New Roman" w:cs="Times New Roman"/>
          <w:sz w:val="24"/>
          <w:szCs w:val="24"/>
          <w:lang w:val="en-US"/>
        </w:rPr>
        <w:footnoteReference w:id="70"/>
      </w:r>
      <w:r w:rsidR="00AD0AF0">
        <w:rPr>
          <w:rFonts w:ascii="Times New Roman" w:eastAsia="Times New Roman" w:hAnsi="Times New Roman" w:cs="Times New Roman"/>
          <w:sz w:val="24"/>
          <w:szCs w:val="24"/>
          <w:lang w:val="en-US"/>
        </w:rPr>
        <w:t xml:space="preserve"> </w:t>
      </w:r>
      <w:r w:rsidRPr="00314F90">
        <w:rPr>
          <w:rFonts w:ascii="Times New Roman" w:eastAsia="Times New Roman" w:hAnsi="Times New Roman" w:cs="Times New Roman"/>
          <w:sz w:val="24"/>
          <w:szCs w:val="24"/>
          <w:lang w:val="en-US"/>
        </w:rPr>
        <w:t>These are what Foucault calls “immediate struggles”: struggles against the oppressive and dominating instances of “interstitial” power closest to the individual, such as the husband, the doctor, the boss, or the bureaucra</w:t>
      </w:r>
      <w:r w:rsidR="001A29B8">
        <w:rPr>
          <w:rFonts w:ascii="Times New Roman" w:eastAsia="Times New Roman" w:hAnsi="Times New Roman" w:cs="Times New Roman"/>
          <w:sz w:val="24"/>
          <w:szCs w:val="24"/>
          <w:lang w:val="en-US"/>
        </w:rPr>
        <w:t>t.</w:t>
      </w:r>
      <w:r w:rsidR="001A29B8">
        <w:rPr>
          <w:rStyle w:val="FootnoteReference"/>
          <w:rFonts w:ascii="Times New Roman" w:eastAsia="Times New Roman" w:hAnsi="Times New Roman" w:cs="Times New Roman"/>
          <w:sz w:val="24"/>
          <w:szCs w:val="24"/>
          <w:lang w:val="en-US"/>
        </w:rPr>
        <w:footnoteReference w:id="71"/>
      </w:r>
      <w:r w:rsidRPr="00314F90">
        <w:rPr>
          <w:rFonts w:ascii="Times New Roman" w:eastAsia="Times New Roman" w:hAnsi="Times New Roman" w:cs="Times New Roman"/>
          <w:sz w:val="24"/>
          <w:szCs w:val="24"/>
          <w:lang w:val="en-US"/>
        </w:rPr>
        <w:t xml:space="preserve"> </w:t>
      </w:r>
    </w:p>
    <w:p w14:paraId="0000003F" w14:textId="677ADA89" w:rsidR="00CC5992" w:rsidRPr="00314F90" w:rsidRDefault="00000000">
      <w:pPr>
        <w:spacing w:before="240" w:after="240" w:line="360" w:lineRule="auto"/>
        <w:rPr>
          <w:rFonts w:ascii="Times New Roman" w:eastAsia="Times New Roman" w:hAnsi="Times New Roman" w:cs="Times New Roman"/>
          <w:sz w:val="24"/>
          <w:szCs w:val="24"/>
          <w:lang w:val="en-US"/>
        </w:rPr>
      </w:pPr>
      <w:r w:rsidRPr="00314F90">
        <w:rPr>
          <w:rFonts w:ascii="Times New Roman" w:eastAsia="Times New Roman" w:hAnsi="Times New Roman" w:cs="Times New Roman"/>
          <w:sz w:val="24"/>
          <w:szCs w:val="24"/>
          <w:lang w:val="en-US"/>
        </w:rPr>
        <w:t>Crucially, this resistance is grounded in Foucault’s specific ontology of freedom. In an influential formulation, Foucault asserts: “Power is exercised only over free subjects, and only insofar as they are free</w:t>
      </w:r>
      <w:r w:rsidR="00235792">
        <w:rPr>
          <w:rFonts w:ascii="Times New Roman" w:eastAsia="Times New Roman" w:hAnsi="Times New Roman" w:cs="Times New Roman"/>
          <w:sz w:val="24"/>
          <w:szCs w:val="24"/>
          <w:lang w:val="en-US"/>
        </w:rPr>
        <w:t>.”</w:t>
      </w:r>
      <w:r w:rsidR="00235792">
        <w:rPr>
          <w:rStyle w:val="FootnoteReference"/>
          <w:rFonts w:ascii="Times New Roman" w:eastAsia="Times New Roman" w:hAnsi="Times New Roman" w:cs="Times New Roman"/>
          <w:sz w:val="24"/>
          <w:szCs w:val="24"/>
          <w:lang w:val="en-US"/>
        </w:rPr>
        <w:footnoteReference w:id="72"/>
      </w:r>
      <w:r w:rsidR="00235792">
        <w:rPr>
          <w:rFonts w:ascii="Times New Roman" w:eastAsia="Times New Roman" w:hAnsi="Times New Roman" w:cs="Times New Roman"/>
          <w:sz w:val="24"/>
          <w:szCs w:val="24"/>
          <w:lang w:val="en-US"/>
        </w:rPr>
        <w:t xml:space="preserve"> </w:t>
      </w:r>
      <w:r w:rsidRPr="00314F90">
        <w:rPr>
          <w:rFonts w:ascii="Times New Roman" w:eastAsia="Times New Roman" w:hAnsi="Times New Roman" w:cs="Times New Roman"/>
          <w:sz w:val="24"/>
          <w:szCs w:val="24"/>
          <w:lang w:val="en-US"/>
        </w:rPr>
        <w:t xml:space="preserve">In slavery, there is no power relation, only physical constraint. Freedom </w:t>
      </w:r>
      <w:proofErr w:type="gramStart"/>
      <w:r w:rsidRPr="00314F90">
        <w:rPr>
          <w:rFonts w:ascii="Times New Roman" w:eastAsia="Times New Roman" w:hAnsi="Times New Roman" w:cs="Times New Roman"/>
          <w:sz w:val="24"/>
          <w:szCs w:val="24"/>
          <w:lang w:val="en-US"/>
        </w:rPr>
        <w:t>opens up</w:t>
      </w:r>
      <w:proofErr w:type="gramEnd"/>
      <w:r w:rsidRPr="00314F90">
        <w:rPr>
          <w:rFonts w:ascii="Times New Roman" w:eastAsia="Times New Roman" w:hAnsi="Times New Roman" w:cs="Times New Roman"/>
          <w:sz w:val="24"/>
          <w:szCs w:val="24"/>
          <w:lang w:val="en-US"/>
        </w:rPr>
        <w:t xml:space="preserve"> the space required for power to flow. Power, by definition, is a “mode of action upon the actions of others,” which presupposes a “field of possibilities in which the behavior of active subjects is able to inscribe itself.”</w:t>
      </w:r>
      <w:r w:rsidR="00710DF4">
        <w:rPr>
          <w:rStyle w:val="FootnoteReference"/>
          <w:rFonts w:ascii="Times New Roman" w:eastAsia="Times New Roman" w:hAnsi="Times New Roman" w:cs="Times New Roman"/>
          <w:sz w:val="24"/>
          <w:szCs w:val="24"/>
          <w:lang w:val="en-US"/>
        </w:rPr>
        <w:footnoteReference w:id="73"/>
      </w:r>
      <w:r w:rsidR="00710DF4">
        <w:rPr>
          <w:rFonts w:ascii="Times New Roman" w:eastAsia="Times New Roman" w:hAnsi="Times New Roman" w:cs="Times New Roman"/>
          <w:sz w:val="24"/>
          <w:szCs w:val="24"/>
          <w:lang w:val="en-US"/>
        </w:rPr>
        <w:t xml:space="preserve"> </w:t>
      </w:r>
      <w:r w:rsidRPr="00314F90">
        <w:rPr>
          <w:rFonts w:ascii="Times New Roman" w:eastAsia="Times New Roman" w:hAnsi="Times New Roman" w:cs="Times New Roman"/>
          <w:sz w:val="24"/>
          <w:szCs w:val="24"/>
          <w:lang w:val="en-US"/>
        </w:rPr>
        <w:t>This also explains how “freedom politics,” including (neo)liberalism and anarchism, can be analysed as paradigmatic sites of power relations.</w:t>
      </w:r>
      <w:r w:rsidR="002949F3">
        <w:rPr>
          <w:rFonts w:ascii="Times New Roman" w:eastAsia="Times New Roman" w:hAnsi="Times New Roman" w:cs="Times New Roman"/>
          <w:sz w:val="24"/>
          <w:szCs w:val="24"/>
          <w:lang w:val="en-US"/>
        </w:rPr>
        <w:t xml:space="preserve"> </w:t>
      </w:r>
      <w:r w:rsidR="002949F3" w:rsidRPr="002949F3">
        <w:rPr>
          <w:rFonts w:ascii="Times New Roman" w:eastAsia="Times New Roman" w:hAnsi="Times New Roman" w:cs="Times New Roman"/>
          <w:sz w:val="24"/>
          <w:szCs w:val="24"/>
          <w:lang w:val="en-US"/>
        </w:rPr>
        <w:t>Neoliberalism, for instance, does not merely liberate the market from the state, but actively produces new, self-disciplining</w:t>
      </w:r>
      <w:r w:rsidR="00C04794">
        <w:rPr>
          <w:rFonts w:ascii="Times New Roman" w:eastAsia="Times New Roman" w:hAnsi="Times New Roman" w:cs="Times New Roman"/>
          <w:sz w:val="24"/>
          <w:szCs w:val="24"/>
          <w:lang w:val="en-US"/>
        </w:rPr>
        <w:t xml:space="preserve"> forms of</w:t>
      </w:r>
      <w:r w:rsidR="002949F3" w:rsidRPr="002949F3">
        <w:rPr>
          <w:rFonts w:ascii="Times New Roman" w:eastAsia="Times New Roman" w:hAnsi="Times New Roman" w:cs="Times New Roman"/>
          <w:sz w:val="24"/>
          <w:szCs w:val="24"/>
          <w:lang w:val="en-US"/>
        </w:rPr>
        <w:t xml:space="preserve"> entrepreneurial subjectivity (</w:t>
      </w:r>
      <w:r w:rsidR="002949F3" w:rsidRPr="00F15FAC">
        <w:rPr>
          <w:rFonts w:ascii="Times New Roman" w:eastAsia="Times New Roman" w:hAnsi="Times New Roman" w:cs="Times New Roman"/>
          <w:i/>
          <w:iCs/>
          <w:sz w:val="24"/>
          <w:szCs w:val="24"/>
          <w:lang w:val="en-US"/>
        </w:rPr>
        <w:t>Homo economicus</w:t>
      </w:r>
      <w:r w:rsidR="002949F3" w:rsidRPr="002949F3">
        <w:rPr>
          <w:rFonts w:ascii="Times New Roman" w:eastAsia="Times New Roman" w:hAnsi="Times New Roman" w:cs="Times New Roman"/>
          <w:sz w:val="24"/>
          <w:szCs w:val="24"/>
          <w:lang w:val="en-US"/>
        </w:rPr>
        <w:t>).</w:t>
      </w:r>
      <w:r w:rsidR="002949F3">
        <w:rPr>
          <w:rStyle w:val="FootnoteReference"/>
          <w:rFonts w:ascii="Times New Roman" w:eastAsia="Times New Roman" w:hAnsi="Times New Roman" w:cs="Times New Roman"/>
          <w:sz w:val="24"/>
          <w:szCs w:val="24"/>
          <w:lang w:val="en-US"/>
        </w:rPr>
        <w:footnoteReference w:id="74"/>
      </w:r>
      <w:r w:rsidR="002949F3" w:rsidRPr="002949F3">
        <w:rPr>
          <w:rFonts w:ascii="Times New Roman" w:eastAsia="Times New Roman" w:hAnsi="Times New Roman" w:cs="Times New Roman"/>
          <w:sz w:val="24"/>
          <w:szCs w:val="24"/>
          <w:lang w:val="en-US"/>
        </w:rPr>
        <w:t xml:space="preserve"> </w:t>
      </w:r>
      <w:r w:rsidR="00C04794" w:rsidRPr="00C04794">
        <w:rPr>
          <w:rFonts w:ascii="Times New Roman" w:eastAsia="Times New Roman" w:hAnsi="Times New Roman" w:cs="Times New Roman"/>
          <w:sz w:val="24"/>
          <w:szCs w:val="24"/>
          <w:lang w:val="en-US"/>
        </w:rPr>
        <w:t>Similarly, precisely because anarchism</w:t>
      </w:r>
      <w:r w:rsidR="00C04794">
        <w:rPr>
          <w:rFonts w:ascii="Times New Roman" w:eastAsia="Times New Roman" w:hAnsi="Times New Roman" w:cs="Times New Roman"/>
          <w:sz w:val="24"/>
          <w:szCs w:val="24"/>
          <w:lang w:val="en-US"/>
        </w:rPr>
        <w:t xml:space="preserve"> also relies</w:t>
      </w:r>
      <w:r w:rsidR="00C04794" w:rsidRPr="00C04794">
        <w:rPr>
          <w:rFonts w:ascii="Times New Roman" w:eastAsia="Times New Roman" w:hAnsi="Times New Roman" w:cs="Times New Roman"/>
          <w:sz w:val="24"/>
          <w:szCs w:val="24"/>
          <w:lang w:val="en-US"/>
        </w:rPr>
        <w:t xml:space="preserve"> so heavily on the exercise of freedom, </w:t>
      </w:r>
      <w:r w:rsidR="00C04794">
        <w:rPr>
          <w:rFonts w:ascii="Times New Roman" w:eastAsia="Times New Roman" w:hAnsi="Times New Roman" w:cs="Times New Roman"/>
          <w:sz w:val="24"/>
          <w:szCs w:val="24"/>
          <w:lang w:val="en-US"/>
        </w:rPr>
        <w:t>it must</w:t>
      </w:r>
      <w:r w:rsidR="00C04794" w:rsidRPr="00C04794">
        <w:rPr>
          <w:rFonts w:ascii="Times New Roman" w:eastAsia="Times New Roman" w:hAnsi="Times New Roman" w:cs="Times New Roman"/>
          <w:sz w:val="24"/>
          <w:szCs w:val="24"/>
          <w:lang w:val="en-US"/>
        </w:rPr>
        <w:t xml:space="preserve"> inevitably engage in the production, shaping, and guidance of free subjects through</w:t>
      </w:r>
      <w:r w:rsidR="00C04794">
        <w:rPr>
          <w:rFonts w:ascii="Times New Roman" w:eastAsia="Times New Roman" w:hAnsi="Times New Roman" w:cs="Times New Roman"/>
          <w:sz w:val="24"/>
          <w:szCs w:val="24"/>
          <w:lang w:val="en-US"/>
        </w:rPr>
        <w:t xml:space="preserve"> communal norm</w:t>
      </w:r>
      <w:r w:rsidR="00CC6A36">
        <w:rPr>
          <w:rFonts w:ascii="Times New Roman" w:eastAsia="Times New Roman" w:hAnsi="Times New Roman" w:cs="Times New Roman"/>
          <w:sz w:val="24"/>
          <w:szCs w:val="24"/>
          <w:lang w:val="en-US"/>
        </w:rPr>
        <w:t>s, ethical values, and games of power</w:t>
      </w:r>
      <w:r w:rsidR="00C04794">
        <w:rPr>
          <w:rFonts w:ascii="Times New Roman" w:eastAsia="Times New Roman" w:hAnsi="Times New Roman" w:cs="Times New Roman"/>
          <w:sz w:val="24"/>
          <w:szCs w:val="24"/>
          <w:lang w:val="en-US"/>
        </w:rPr>
        <w:t>.</w:t>
      </w:r>
    </w:p>
    <w:p w14:paraId="00000040" w14:textId="1268E15A" w:rsidR="00CC5992" w:rsidRPr="00314F90" w:rsidRDefault="00000000">
      <w:pPr>
        <w:spacing w:before="240" w:after="240" w:line="360" w:lineRule="auto"/>
        <w:rPr>
          <w:rFonts w:ascii="Times New Roman" w:eastAsia="Times New Roman" w:hAnsi="Times New Roman" w:cs="Times New Roman"/>
          <w:sz w:val="24"/>
          <w:szCs w:val="24"/>
          <w:lang w:val="en-US"/>
        </w:rPr>
      </w:pPr>
      <w:r w:rsidRPr="00314F90">
        <w:rPr>
          <w:rFonts w:ascii="Times New Roman" w:eastAsia="Times New Roman" w:hAnsi="Times New Roman" w:cs="Times New Roman"/>
          <w:sz w:val="24"/>
          <w:szCs w:val="24"/>
          <w:lang w:val="en-US"/>
        </w:rPr>
        <w:t>In some of his later</w:t>
      </w:r>
      <w:r w:rsidR="00F33D6C">
        <w:rPr>
          <w:rFonts w:ascii="Times New Roman" w:eastAsia="Times New Roman" w:hAnsi="Times New Roman" w:cs="Times New Roman"/>
          <w:sz w:val="24"/>
          <w:szCs w:val="24"/>
          <w:lang w:val="en-US"/>
        </w:rPr>
        <w:t xml:space="preserve"> “ethical”</w:t>
      </w:r>
      <w:r w:rsidR="00BD6F59">
        <w:rPr>
          <w:rFonts w:ascii="Times New Roman" w:eastAsia="Times New Roman" w:hAnsi="Times New Roman" w:cs="Times New Roman"/>
          <w:sz w:val="24"/>
          <w:szCs w:val="24"/>
          <w:lang w:val="en-US"/>
        </w:rPr>
        <w:t xml:space="preserve"> </w:t>
      </w:r>
      <w:r w:rsidRPr="00314F90">
        <w:rPr>
          <w:rFonts w:ascii="Times New Roman" w:eastAsia="Times New Roman" w:hAnsi="Times New Roman" w:cs="Times New Roman"/>
          <w:sz w:val="24"/>
          <w:szCs w:val="24"/>
          <w:lang w:val="en-US"/>
        </w:rPr>
        <w:t xml:space="preserve">writings, </w:t>
      </w:r>
      <w:r w:rsidR="00F33D6C" w:rsidRPr="00F33D6C">
        <w:rPr>
          <w:rFonts w:ascii="Times New Roman" w:eastAsia="Times New Roman" w:hAnsi="Times New Roman" w:cs="Times New Roman"/>
          <w:sz w:val="24"/>
          <w:szCs w:val="24"/>
          <w:lang w:val="en-US"/>
        </w:rPr>
        <w:t xml:space="preserve">most notably in </w:t>
      </w:r>
      <w:r w:rsidR="00BD6F59" w:rsidRPr="00BD6F59">
        <w:rPr>
          <w:rFonts w:ascii="Times New Roman" w:eastAsia="Times New Roman" w:hAnsi="Times New Roman" w:cs="Times New Roman"/>
          <w:sz w:val="24"/>
          <w:szCs w:val="24"/>
          <w:lang w:val="en-US"/>
        </w:rPr>
        <w:t>‘</w:t>
      </w:r>
      <w:r w:rsidR="00F33D6C" w:rsidRPr="00BD6F59">
        <w:rPr>
          <w:rFonts w:ascii="Times New Roman" w:eastAsia="Times New Roman" w:hAnsi="Times New Roman" w:cs="Times New Roman"/>
          <w:sz w:val="24"/>
          <w:szCs w:val="24"/>
          <w:lang w:val="en-US"/>
        </w:rPr>
        <w:t>The Subject and Power</w:t>
      </w:r>
      <w:r w:rsidR="00BD6F59" w:rsidRPr="00F15FAC">
        <w:rPr>
          <w:rFonts w:ascii="Times New Roman" w:eastAsia="Times New Roman" w:hAnsi="Times New Roman" w:cs="Times New Roman"/>
          <w:sz w:val="24"/>
          <w:szCs w:val="24"/>
          <w:lang w:val="en-US"/>
        </w:rPr>
        <w:t>’</w:t>
      </w:r>
      <w:r w:rsidR="00F33D6C" w:rsidRPr="00F33D6C">
        <w:rPr>
          <w:rFonts w:ascii="Times New Roman" w:eastAsia="Times New Roman" w:hAnsi="Times New Roman" w:cs="Times New Roman"/>
          <w:sz w:val="24"/>
          <w:szCs w:val="24"/>
          <w:lang w:val="en-US"/>
        </w:rPr>
        <w:t xml:space="preserve"> </w:t>
      </w:r>
      <w:r w:rsidR="00F33D6C">
        <w:rPr>
          <w:rFonts w:ascii="Times New Roman" w:eastAsia="Times New Roman" w:hAnsi="Times New Roman" w:cs="Times New Roman"/>
          <w:sz w:val="24"/>
          <w:szCs w:val="24"/>
          <w:lang w:val="en-US"/>
        </w:rPr>
        <w:t xml:space="preserve">(1982) </w:t>
      </w:r>
      <w:r w:rsidR="00F33D6C" w:rsidRPr="00F33D6C">
        <w:rPr>
          <w:rFonts w:ascii="Times New Roman" w:eastAsia="Times New Roman" w:hAnsi="Times New Roman" w:cs="Times New Roman"/>
          <w:sz w:val="24"/>
          <w:szCs w:val="24"/>
          <w:lang w:val="en-US"/>
        </w:rPr>
        <w:t xml:space="preserve">and </w:t>
      </w:r>
      <w:r w:rsidR="00BD6F59" w:rsidRPr="00BD6F59">
        <w:rPr>
          <w:rFonts w:ascii="Times New Roman" w:eastAsia="Times New Roman" w:hAnsi="Times New Roman" w:cs="Times New Roman"/>
          <w:sz w:val="24"/>
          <w:szCs w:val="24"/>
          <w:lang w:val="en-US"/>
        </w:rPr>
        <w:t>‘</w:t>
      </w:r>
      <w:r w:rsidR="00F33D6C" w:rsidRPr="00BD6F59">
        <w:rPr>
          <w:rFonts w:ascii="Times New Roman" w:eastAsia="Times New Roman" w:hAnsi="Times New Roman" w:cs="Times New Roman"/>
          <w:sz w:val="24"/>
          <w:szCs w:val="24"/>
          <w:lang w:val="en-US"/>
        </w:rPr>
        <w:t>The Ethic</w:t>
      </w:r>
      <w:r w:rsidR="00F33D6C" w:rsidRPr="00F15FAC">
        <w:rPr>
          <w:rFonts w:ascii="Times New Roman" w:eastAsia="Times New Roman" w:hAnsi="Times New Roman" w:cs="Times New Roman"/>
          <w:sz w:val="24"/>
          <w:szCs w:val="24"/>
          <w:lang w:val="en-US"/>
        </w:rPr>
        <w:t>s</w:t>
      </w:r>
      <w:r w:rsidR="00F33D6C" w:rsidRPr="00BD6F59">
        <w:rPr>
          <w:rFonts w:ascii="Times New Roman" w:eastAsia="Times New Roman" w:hAnsi="Times New Roman" w:cs="Times New Roman"/>
          <w:sz w:val="24"/>
          <w:szCs w:val="24"/>
          <w:lang w:val="en-US"/>
        </w:rPr>
        <w:t xml:space="preserve"> of the </w:t>
      </w:r>
      <w:r w:rsidR="00F33D6C" w:rsidRPr="00F15FAC">
        <w:rPr>
          <w:rFonts w:ascii="Times New Roman" w:eastAsia="Times New Roman" w:hAnsi="Times New Roman" w:cs="Times New Roman"/>
          <w:sz w:val="24"/>
          <w:szCs w:val="24"/>
          <w:lang w:val="en-US"/>
        </w:rPr>
        <w:t xml:space="preserve">Concern </w:t>
      </w:r>
      <w:r w:rsidR="00F33D6C" w:rsidRPr="00BD6F59">
        <w:rPr>
          <w:rFonts w:ascii="Times New Roman" w:eastAsia="Times New Roman" w:hAnsi="Times New Roman" w:cs="Times New Roman"/>
          <w:sz w:val="24"/>
          <w:szCs w:val="24"/>
          <w:lang w:val="en-US"/>
        </w:rPr>
        <w:t>for Self as a Practice of Freedom</w:t>
      </w:r>
      <w:r w:rsidR="00BD6F59" w:rsidRPr="00F15FAC">
        <w:rPr>
          <w:rFonts w:ascii="Times New Roman" w:eastAsia="Times New Roman" w:hAnsi="Times New Roman" w:cs="Times New Roman"/>
          <w:sz w:val="24"/>
          <w:szCs w:val="24"/>
          <w:lang w:val="en-US"/>
        </w:rPr>
        <w:t>’</w:t>
      </w:r>
      <w:r w:rsidR="00F33D6C">
        <w:rPr>
          <w:rFonts w:ascii="Times New Roman" w:eastAsia="Times New Roman" w:hAnsi="Times New Roman" w:cs="Times New Roman"/>
          <w:i/>
          <w:iCs/>
          <w:sz w:val="24"/>
          <w:szCs w:val="24"/>
          <w:lang w:val="en-US"/>
        </w:rPr>
        <w:t xml:space="preserve"> (1984)</w:t>
      </w:r>
      <w:r w:rsidR="00F33D6C" w:rsidRPr="00F33D6C">
        <w:rPr>
          <w:rFonts w:ascii="Times New Roman" w:eastAsia="Times New Roman" w:hAnsi="Times New Roman" w:cs="Times New Roman"/>
          <w:sz w:val="24"/>
          <w:szCs w:val="24"/>
          <w:lang w:val="en-US"/>
        </w:rPr>
        <w:t>,</w:t>
      </w:r>
      <w:r w:rsidR="00F33D6C">
        <w:rPr>
          <w:rFonts w:ascii="Times New Roman" w:eastAsia="Times New Roman" w:hAnsi="Times New Roman" w:cs="Times New Roman"/>
          <w:sz w:val="24"/>
          <w:szCs w:val="24"/>
          <w:lang w:val="en-US"/>
        </w:rPr>
        <w:t xml:space="preserve"> </w:t>
      </w:r>
      <w:r w:rsidR="00C04794">
        <w:rPr>
          <w:rFonts w:ascii="Times New Roman" w:eastAsia="Times New Roman" w:hAnsi="Times New Roman" w:cs="Times New Roman"/>
          <w:sz w:val="24"/>
          <w:szCs w:val="24"/>
          <w:lang w:val="en-US"/>
        </w:rPr>
        <w:t>Foucault</w:t>
      </w:r>
      <w:r w:rsidRPr="00314F90">
        <w:rPr>
          <w:rFonts w:ascii="Times New Roman" w:eastAsia="Times New Roman" w:hAnsi="Times New Roman" w:cs="Times New Roman"/>
          <w:sz w:val="24"/>
          <w:szCs w:val="24"/>
          <w:lang w:val="en-US"/>
        </w:rPr>
        <w:t xml:space="preserve"> distinguishes between fluid power relations, which are reversible and mobile, and states of </w:t>
      </w:r>
      <w:r w:rsidRPr="00314F90">
        <w:rPr>
          <w:rFonts w:ascii="Times New Roman" w:eastAsia="Times New Roman" w:hAnsi="Times New Roman" w:cs="Times New Roman"/>
          <w:i/>
          <w:iCs/>
          <w:sz w:val="24"/>
          <w:szCs w:val="24"/>
          <w:lang w:val="en-US"/>
        </w:rPr>
        <w:t>domination</w:t>
      </w:r>
      <w:r w:rsidRPr="00314F90">
        <w:rPr>
          <w:rFonts w:ascii="Times New Roman" w:eastAsia="Times New Roman" w:hAnsi="Times New Roman" w:cs="Times New Roman"/>
          <w:sz w:val="24"/>
          <w:szCs w:val="24"/>
          <w:lang w:val="en-US"/>
        </w:rPr>
        <w:t xml:space="preserve">, where the “games of power” are blocked and ossified. The clearest normative goal of </w:t>
      </w:r>
      <w:r w:rsidR="00C04794">
        <w:rPr>
          <w:rFonts w:ascii="Times New Roman" w:eastAsia="Times New Roman" w:hAnsi="Times New Roman" w:cs="Times New Roman"/>
          <w:sz w:val="24"/>
          <w:szCs w:val="24"/>
          <w:lang w:val="en-US"/>
        </w:rPr>
        <w:t>his</w:t>
      </w:r>
      <w:r w:rsidR="00C04794" w:rsidRPr="00314F90">
        <w:rPr>
          <w:rFonts w:ascii="Times New Roman" w:eastAsia="Times New Roman" w:hAnsi="Times New Roman" w:cs="Times New Roman"/>
          <w:sz w:val="24"/>
          <w:szCs w:val="24"/>
          <w:lang w:val="en-US"/>
        </w:rPr>
        <w:t xml:space="preserve"> </w:t>
      </w:r>
      <w:r w:rsidRPr="00314F90">
        <w:rPr>
          <w:rFonts w:ascii="Times New Roman" w:eastAsia="Times New Roman" w:hAnsi="Times New Roman" w:cs="Times New Roman"/>
          <w:sz w:val="24"/>
          <w:szCs w:val="24"/>
          <w:lang w:val="en-US"/>
        </w:rPr>
        <w:t xml:space="preserve">politics is not the elimination of power, which is impossible, but the “minimization of </w:t>
      </w:r>
      <w:r w:rsidRPr="00314F90">
        <w:rPr>
          <w:rFonts w:ascii="Times New Roman" w:eastAsia="Times New Roman" w:hAnsi="Times New Roman" w:cs="Times New Roman"/>
          <w:sz w:val="24"/>
          <w:szCs w:val="24"/>
          <w:lang w:val="en-US"/>
        </w:rPr>
        <w:lastRenderedPageBreak/>
        <w:t>domination</w:t>
      </w:r>
      <w:r w:rsidR="00710DF4">
        <w:rPr>
          <w:rFonts w:ascii="Times New Roman" w:eastAsia="Times New Roman" w:hAnsi="Times New Roman" w:cs="Times New Roman"/>
          <w:sz w:val="24"/>
          <w:szCs w:val="24"/>
          <w:lang w:val="en-US"/>
        </w:rPr>
        <w:t>.”</w:t>
      </w:r>
      <w:r w:rsidR="00710DF4">
        <w:rPr>
          <w:rStyle w:val="FootnoteReference"/>
          <w:rFonts w:ascii="Times New Roman" w:eastAsia="Times New Roman" w:hAnsi="Times New Roman" w:cs="Times New Roman"/>
          <w:sz w:val="24"/>
          <w:szCs w:val="24"/>
          <w:lang w:val="en-US"/>
        </w:rPr>
        <w:footnoteReference w:id="75"/>
      </w:r>
      <w:r w:rsidR="00710DF4">
        <w:rPr>
          <w:rFonts w:ascii="Times New Roman" w:eastAsia="Times New Roman" w:hAnsi="Times New Roman" w:cs="Times New Roman"/>
          <w:sz w:val="24"/>
          <w:szCs w:val="24"/>
          <w:lang w:val="en-US"/>
        </w:rPr>
        <w:t xml:space="preserve"> </w:t>
      </w:r>
      <w:r w:rsidRPr="00314F90">
        <w:rPr>
          <w:rFonts w:ascii="Times New Roman" w:eastAsia="Times New Roman" w:hAnsi="Times New Roman" w:cs="Times New Roman"/>
          <w:sz w:val="24"/>
          <w:szCs w:val="24"/>
          <w:lang w:val="en-US"/>
        </w:rPr>
        <w:t xml:space="preserve">Resistance is the effort to keep power relations mobile and to prevent the “strategic games” of freedom and power from congealing into fixed states of domination or tyranny. The Foucauldian resistance against state and non-state power is a productive form of </w:t>
      </w:r>
      <w:r w:rsidRPr="00314F90">
        <w:rPr>
          <w:rFonts w:ascii="Times New Roman" w:eastAsia="Times New Roman" w:hAnsi="Times New Roman" w:cs="Times New Roman"/>
          <w:i/>
          <w:iCs/>
          <w:sz w:val="24"/>
          <w:szCs w:val="24"/>
          <w:lang w:val="en-US"/>
        </w:rPr>
        <w:t>agonism</w:t>
      </w:r>
      <w:r w:rsidR="006C1444">
        <w:rPr>
          <w:rFonts w:ascii="Times New Roman" w:eastAsia="Times New Roman" w:hAnsi="Times New Roman" w:cs="Times New Roman"/>
          <w:sz w:val="24"/>
          <w:szCs w:val="24"/>
          <w:lang w:val="en-US"/>
        </w:rPr>
        <w:t>.</w:t>
      </w:r>
      <w:r w:rsidR="006C1444">
        <w:rPr>
          <w:rStyle w:val="FootnoteReference"/>
          <w:rFonts w:ascii="Times New Roman" w:eastAsia="Times New Roman" w:hAnsi="Times New Roman" w:cs="Times New Roman"/>
          <w:sz w:val="24"/>
          <w:szCs w:val="24"/>
          <w:lang w:val="en-US"/>
        </w:rPr>
        <w:footnoteReference w:id="76"/>
      </w:r>
      <w:r w:rsidR="006C1444">
        <w:rPr>
          <w:rFonts w:ascii="Times New Roman" w:eastAsia="Times New Roman" w:hAnsi="Times New Roman" w:cs="Times New Roman"/>
          <w:sz w:val="24"/>
          <w:szCs w:val="24"/>
          <w:lang w:val="en-US"/>
        </w:rPr>
        <w:t xml:space="preserve"> </w:t>
      </w:r>
      <w:r w:rsidRPr="00314F90">
        <w:rPr>
          <w:rFonts w:ascii="Times New Roman" w:eastAsia="Times New Roman" w:hAnsi="Times New Roman" w:cs="Times New Roman"/>
          <w:sz w:val="24"/>
          <w:szCs w:val="24"/>
          <w:lang w:val="en-US"/>
        </w:rPr>
        <w:t>At the very heart of the power relationship, and constantly provoking it, lies the “recalcitrance of the will and the intransigence of freedom</w:t>
      </w:r>
      <w:r w:rsidR="006C1444">
        <w:rPr>
          <w:rFonts w:ascii="Times New Roman" w:eastAsia="Times New Roman" w:hAnsi="Times New Roman" w:cs="Times New Roman"/>
          <w:sz w:val="24"/>
          <w:szCs w:val="24"/>
          <w:lang w:val="en-US"/>
        </w:rPr>
        <w:t>.”</w:t>
      </w:r>
      <w:r w:rsidR="006C1444">
        <w:rPr>
          <w:rStyle w:val="FootnoteReference"/>
          <w:rFonts w:ascii="Times New Roman" w:eastAsia="Times New Roman" w:hAnsi="Times New Roman" w:cs="Times New Roman"/>
          <w:sz w:val="24"/>
          <w:szCs w:val="24"/>
          <w:lang w:val="en-US"/>
        </w:rPr>
        <w:footnoteReference w:id="77"/>
      </w:r>
      <w:r w:rsidR="006C1444">
        <w:rPr>
          <w:rFonts w:ascii="Times New Roman" w:eastAsia="Times New Roman" w:hAnsi="Times New Roman" w:cs="Times New Roman"/>
          <w:sz w:val="24"/>
          <w:szCs w:val="24"/>
          <w:lang w:val="en-US"/>
        </w:rPr>
        <w:t xml:space="preserve"> </w:t>
      </w:r>
      <w:r w:rsidRPr="00314F90">
        <w:rPr>
          <w:rFonts w:ascii="Times New Roman" w:eastAsia="Times New Roman" w:hAnsi="Times New Roman" w:cs="Times New Roman"/>
          <w:sz w:val="24"/>
          <w:szCs w:val="24"/>
          <w:lang w:val="en-US"/>
        </w:rPr>
        <w:t>Resistance is the “art of not being governed quite so much”</w:t>
      </w:r>
      <w:r w:rsidR="006C1444">
        <w:rPr>
          <w:rStyle w:val="FootnoteReference"/>
          <w:rFonts w:ascii="Times New Roman" w:eastAsia="Times New Roman" w:hAnsi="Times New Roman" w:cs="Times New Roman"/>
          <w:sz w:val="24"/>
          <w:szCs w:val="24"/>
          <w:lang w:val="en-US"/>
        </w:rPr>
        <w:footnoteReference w:id="78"/>
      </w:r>
      <w:r w:rsidRPr="00314F90">
        <w:rPr>
          <w:rFonts w:ascii="Times New Roman" w:eastAsia="Times New Roman" w:hAnsi="Times New Roman" w:cs="Times New Roman"/>
          <w:sz w:val="24"/>
          <w:szCs w:val="24"/>
          <w:lang w:val="en-US"/>
        </w:rPr>
        <w:t xml:space="preserve"> or, in the language of Biopolitics, a practice of “counter-conduct</w:t>
      </w:r>
      <w:r w:rsidR="0023032F">
        <w:rPr>
          <w:rFonts w:ascii="Times New Roman" w:eastAsia="Times New Roman" w:hAnsi="Times New Roman" w:cs="Times New Roman"/>
          <w:sz w:val="24"/>
          <w:szCs w:val="24"/>
          <w:lang w:val="en-US"/>
        </w:rPr>
        <w:t>.”</w:t>
      </w:r>
      <w:r w:rsidR="0023032F">
        <w:rPr>
          <w:rStyle w:val="FootnoteReference"/>
          <w:rFonts w:ascii="Times New Roman" w:eastAsia="Times New Roman" w:hAnsi="Times New Roman" w:cs="Times New Roman"/>
          <w:sz w:val="24"/>
          <w:szCs w:val="24"/>
          <w:lang w:val="en-US"/>
        </w:rPr>
        <w:footnoteReference w:id="79"/>
      </w:r>
    </w:p>
    <w:p w14:paraId="00000041" w14:textId="7BCD3675" w:rsidR="00CC5992" w:rsidRPr="00314F90" w:rsidRDefault="004B6CE0" w:rsidP="000609B2">
      <w:pPr>
        <w:spacing w:before="240" w:after="240" w:line="360" w:lineRule="auto"/>
        <w:rPr>
          <w:rFonts w:ascii="Times New Roman" w:eastAsia="Times New Roman" w:hAnsi="Times New Roman" w:cs="Times New Roman"/>
          <w:sz w:val="24"/>
          <w:szCs w:val="24"/>
          <w:lang w:val="en-US"/>
        </w:rPr>
      </w:pPr>
      <w:r w:rsidRPr="004B6CE0">
        <w:rPr>
          <w:rFonts w:ascii="Times New Roman" w:eastAsia="Times New Roman" w:hAnsi="Times New Roman" w:cs="Times New Roman"/>
          <w:sz w:val="24"/>
          <w:szCs w:val="24"/>
          <w:lang w:val="en-US"/>
        </w:rPr>
        <w:t xml:space="preserve">It is crucial to clarify how </w:t>
      </w:r>
      <w:r>
        <w:rPr>
          <w:rFonts w:ascii="Times New Roman" w:eastAsia="Times New Roman" w:hAnsi="Times New Roman" w:cs="Times New Roman"/>
          <w:sz w:val="24"/>
          <w:szCs w:val="24"/>
          <w:lang w:val="en-US"/>
        </w:rPr>
        <w:t xml:space="preserve">all </w:t>
      </w:r>
      <w:r w:rsidRPr="004B6CE0">
        <w:rPr>
          <w:rFonts w:ascii="Times New Roman" w:eastAsia="Times New Roman" w:hAnsi="Times New Roman" w:cs="Times New Roman"/>
          <w:sz w:val="24"/>
          <w:szCs w:val="24"/>
          <w:lang w:val="en-US"/>
        </w:rPr>
        <w:t>this</w:t>
      </w:r>
      <w:r>
        <w:rPr>
          <w:rFonts w:ascii="Times New Roman" w:eastAsia="Times New Roman" w:hAnsi="Times New Roman" w:cs="Times New Roman"/>
          <w:sz w:val="24"/>
          <w:szCs w:val="24"/>
          <w:lang w:val="en-US"/>
        </w:rPr>
        <w:t xml:space="preserve"> </w:t>
      </w:r>
      <w:r w:rsidRPr="004B6CE0">
        <w:rPr>
          <w:rFonts w:ascii="Times New Roman" w:eastAsia="Times New Roman" w:hAnsi="Times New Roman" w:cs="Times New Roman"/>
          <w:sz w:val="24"/>
          <w:szCs w:val="24"/>
          <w:lang w:val="en-US"/>
        </w:rPr>
        <w:t xml:space="preserve">relates to his broader methodology. Although the development of the genealogical Mode C critique was his most important contribution to normative political and social theory, these late ethical writings demonstrate that Foucault did not shy away from Mode A </w:t>
      </w:r>
      <w:proofErr w:type="spellStart"/>
      <w:r w:rsidRPr="004B6CE0">
        <w:rPr>
          <w:rFonts w:ascii="Times New Roman" w:eastAsia="Times New Roman" w:hAnsi="Times New Roman" w:cs="Times New Roman"/>
          <w:sz w:val="24"/>
          <w:szCs w:val="24"/>
          <w:lang w:val="en-US"/>
        </w:rPr>
        <w:t>theorising</w:t>
      </w:r>
      <w:proofErr w:type="spellEnd"/>
      <w:r w:rsidRPr="004B6CE0">
        <w:rPr>
          <w:rFonts w:ascii="Times New Roman" w:eastAsia="Times New Roman" w:hAnsi="Times New Roman" w:cs="Times New Roman"/>
          <w:sz w:val="24"/>
          <w:szCs w:val="24"/>
          <w:lang w:val="en-US"/>
        </w:rPr>
        <w:t xml:space="preserve"> altogether. While he consistently rejects </w:t>
      </w:r>
      <w:r>
        <w:rPr>
          <w:rFonts w:ascii="Times New Roman" w:eastAsia="Times New Roman" w:hAnsi="Times New Roman" w:cs="Times New Roman"/>
          <w:sz w:val="24"/>
          <w:szCs w:val="24"/>
          <w:lang w:val="en-US"/>
        </w:rPr>
        <w:t xml:space="preserve">comprehensive or </w:t>
      </w:r>
      <w:proofErr w:type="spellStart"/>
      <w:r w:rsidRPr="004B6CE0">
        <w:rPr>
          <w:rFonts w:ascii="Times New Roman" w:eastAsia="Times New Roman" w:hAnsi="Times New Roman" w:cs="Times New Roman"/>
          <w:sz w:val="24"/>
          <w:szCs w:val="24"/>
          <w:lang w:val="en-US"/>
        </w:rPr>
        <w:t>totalising</w:t>
      </w:r>
      <w:proofErr w:type="spellEnd"/>
      <w:r w:rsidRPr="004B6CE0">
        <w:rPr>
          <w:rFonts w:ascii="Times New Roman" w:eastAsia="Times New Roman" w:hAnsi="Times New Roman" w:cs="Times New Roman"/>
          <w:sz w:val="24"/>
          <w:szCs w:val="24"/>
          <w:lang w:val="en-US"/>
        </w:rPr>
        <w:t xml:space="preserve"> normative theory</w:t>
      </w:r>
      <w:r>
        <w:rPr>
          <w:rFonts w:ascii="Times New Roman" w:eastAsia="Times New Roman" w:hAnsi="Times New Roman" w:cs="Times New Roman"/>
          <w:sz w:val="24"/>
          <w:szCs w:val="24"/>
          <w:lang w:val="en-US"/>
        </w:rPr>
        <w:t xml:space="preserve">, whether to legitimate state power </w:t>
      </w:r>
      <w:r w:rsidRPr="00D43833">
        <w:rPr>
          <w:rFonts w:ascii="Times New Roman" w:eastAsia="Times New Roman" w:hAnsi="Times New Roman" w:cs="Times New Roman"/>
          <w:i/>
          <w:iCs/>
          <w:sz w:val="24"/>
          <w:szCs w:val="24"/>
          <w:lang w:val="en-US"/>
        </w:rPr>
        <w:t>or</w:t>
      </w:r>
      <w:r>
        <w:rPr>
          <w:rFonts w:ascii="Times New Roman" w:eastAsia="Times New Roman" w:hAnsi="Times New Roman" w:cs="Times New Roman"/>
          <w:sz w:val="24"/>
          <w:szCs w:val="24"/>
          <w:lang w:val="en-US"/>
        </w:rPr>
        <w:t xml:space="preserve"> resistance </w:t>
      </w:r>
      <w:r w:rsidR="00D43833">
        <w:rPr>
          <w:rFonts w:ascii="Times New Roman" w:eastAsia="Times New Roman" w:hAnsi="Times New Roman" w:cs="Times New Roman"/>
          <w:sz w:val="24"/>
          <w:szCs w:val="24"/>
          <w:lang w:val="en-US"/>
        </w:rPr>
        <w:t>to</w:t>
      </w:r>
      <w:r>
        <w:rPr>
          <w:rFonts w:ascii="Times New Roman" w:eastAsia="Times New Roman" w:hAnsi="Times New Roman" w:cs="Times New Roman"/>
          <w:sz w:val="24"/>
          <w:szCs w:val="24"/>
          <w:lang w:val="en-US"/>
        </w:rPr>
        <w:t xml:space="preserve"> it, h</w:t>
      </w:r>
      <w:r w:rsidRPr="004B6CE0">
        <w:rPr>
          <w:rFonts w:ascii="Times New Roman" w:eastAsia="Times New Roman" w:hAnsi="Times New Roman" w:cs="Times New Roman"/>
          <w:sz w:val="24"/>
          <w:szCs w:val="24"/>
          <w:lang w:val="en-US"/>
        </w:rPr>
        <w:t>e explicitly advocates for</w:t>
      </w:r>
      <w:r w:rsidR="008A6DE6">
        <w:rPr>
          <w:rFonts w:ascii="Times New Roman" w:eastAsia="Times New Roman" w:hAnsi="Times New Roman" w:cs="Times New Roman"/>
          <w:sz w:val="24"/>
          <w:szCs w:val="24"/>
          <w:lang w:val="en-US"/>
        </w:rPr>
        <w:t xml:space="preserve"> </w:t>
      </w:r>
      <w:r w:rsidR="000609B2" w:rsidRPr="000609B2">
        <w:rPr>
          <w:rFonts w:ascii="Times New Roman" w:eastAsia="Times New Roman" w:hAnsi="Times New Roman" w:cs="Times New Roman"/>
          <w:sz w:val="24"/>
          <w:szCs w:val="24"/>
          <w:lang w:val="en-US"/>
        </w:rPr>
        <w:t xml:space="preserve">the necessity of </w:t>
      </w:r>
      <w:proofErr w:type="gramStart"/>
      <w:r w:rsidR="000609B2" w:rsidRPr="000609B2">
        <w:rPr>
          <w:rFonts w:ascii="Times New Roman" w:eastAsia="Times New Roman" w:hAnsi="Times New Roman" w:cs="Times New Roman"/>
          <w:sz w:val="24"/>
          <w:szCs w:val="24"/>
          <w:lang w:val="en-US"/>
        </w:rPr>
        <w:t>opening up</w:t>
      </w:r>
      <w:proofErr w:type="gramEnd"/>
      <w:r w:rsidR="000609B2" w:rsidRPr="000609B2">
        <w:rPr>
          <w:rFonts w:ascii="Times New Roman" w:eastAsia="Times New Roman" w:hAnsi="Times New Roman" w:cs="Times New Roman"/>
          <w:sz w:val="24"/>
          <w:szCs w:val="24"/>
          <w:lang w:val="en-US"/>
        </w:rPr>
        <w:t xml:space="preserve"> spaces to “think and act differently</w:t>
      </w:r>
      <w:r w:rsidR="000F4E8C">
        <w:rPr>
          <w:rFonts w:ascii="Times New Roman" w:eastAsia="Times New Roman" w:hAnsi="Times New Roman" w:cs="Times New Roman"/>
          <w:sz w:val="24"/>
          <w:szCs w:val="24"/>
          <w:lang w:val="en-US"/>
        </w:rPr>
        <w:t>.</w:t>
      </w:r>
      <w:r w:rsidR="000609B2" w:rsidRPr="000609B2">
        <w:rPr>
          <w:rFonts w:ascii="Times New Roman" w:eastAsia="Times New Roman" w:hAnsi="Times New Roman" w:cs="Times New Roman"/>
          <w:sz w:val="24"/>
          <w:szCs w:val="24"/>
          <w:lang w:val="en-US"/>
        </w:rPr>
        <w:t>”</w:t>
      </w:r>
      <w:r w:rsidR="000F4E8C" w:rsidRPr="000F4E8C">
        <w:rPr>
          <w:rStyle w:val="FootnoteReference"/>
          <w:rFonts w:ascii="Times New Roman" w:eastAsia="Times New Roman" w:hAnsi="Times New Roman" w:cs="Times New Roman"/>
          <w:sz w:val="24"/>
          <w:szCs w:val="24"/>
          <w:lang w:val="en-US"/>
        </w:rPr>
        <w:t xml:space="preserve"> </w:t>
      </w:r>
      <w:r w:rsidR="000F4E8C">
        <w:rPr>
          <w:rStyle w:val="FootnoteReference"/>
          <w:rFonts w:ascii="Times New Roman" w:eastAsia="Times New Roman" w:hAnsi="Times New Roman" w:cs="Times New Roman"/>
          <w:sz w:val="24"/>
          <w:szCs w:val="24"/>
          <w:lang w:val="en-US"/>
        </w:rPr>
        <w:footnoteReference w:id="80"/>
      </w:r>
      <w:r w:rsidR="000609B2" w:rsidRPr="000609B2">
        <w:rPr>
          <w:rFonts w:ascii="Times New Roman" w:eastAsia="Times New Roman" w:hAnsi="Times New Roman" w:cs="Times New Roman"/>
          <w:sz w:val="24"/>
          <w:szCs w:val="24"/>
          <w:lang w:val="en-US"/>
        </w:rPr>
        <w:t xml:space="preserve"> </w:t>
      </w:r>
      <w:r w:rsidR="000F4E8C">
        <w:rPr>
          <w:rFonts w:ascii="Times New Roman" w:eastAsia="Times New Roman" w:hAnsi="Times New Roman" w:cs="Times New Roman"/>
          <w:sz w:val="24"/>
          <w:szCs w:val="24"/>
          <w:lang w:val="en-US"/>
        </w:rPr>
        <w:t xml:space="preserve">In these moments, </w:t>
      </w:r>
      <w:r w:rsidR="000F4E8C" w:rsidRPr="000F4E8C">
        <w:rPr>
          <w:rFonts w:ascii="Times New Roman" w:eastAsia="Times New Roman" w:hAnsi="Times New Roman" w:cs="Times New Roman"/>
          <w:sz w:val="24"/>
          <w:szCs w:val="24"/>
          <w:lang w:val="en-US"/>
        </w:rPr>
        <w:t xml:space="preserve">he </w:t>
      </w:r>
      <w:r w:rsidR="000F4E8C">
        <w:rPr>
          <w:rFonts w:ascii="Times New Roman" w:eastAsia="Times New Roman" w:hAnsi="Times New Roman" w:cs="Times New Roman"/>
          <w:sz w:val="24"/>
          <w:szCs w:val="24"/>
          <w:lang w:val="en-US"/>
        </w:rPr>
        <w:t xml:space="preserve">consciously </w:t>
      </w:r>
      <w:r w:rsidR="000F4E8C" w:rsidRPr="000F4E8C">
        <w:rPr>
          <w:rFonts w:ascii="Times New Roman" w:eastAsia="Times New Roman" w:hAnsi="Times New Roman" w:cs="Times New Roman"/>
          <w:sz w:val="24"/>
          <w:szCs w:val="24"/>
          <w:lang w:val="en-US"/>
        </w:rPr>
        <w:t xml:space="preserve">steps out of the </w:t>
      </w:r>
      <w:r w:rsidR="000F4E8C">
        <w:rPr>
          <w:rFonts w:ascii="Times New Roman" w:eastAsia="Times New Roman" w:hAnsi="Times New Roman" w:cs="Times New Roman"/>
          <w:sz w:val="24"/>
          <w:szCs w:val="24"/>
          <w:lang w:val="en-US"/>
        </w:rPr>
        <w:t>implicit</w:t>
      </w:r>
      <w:r>
        <w:rPr>
          <w:rFonts w:ascii="Times New Roman" w:eastAsia="Times New Roman" w:hAnsi="Times New Roman" w:cs="Times New Roman"/>
          <w:sz w:val="24"/>
          <w:szCs w:val="24"/>
          <w:lang w:val="en-US"/>
        </w:rPr>
        <w:t xml:space="preserve">, diagnostic </w:t>
      </w:r>
      <w:r w:rsidR="000F4E8C" w:rsidRPr="000F4E8C">
        <w:rPr>
          <w:rFonts w:ascii="Times New Roman" w:eastAsia="Times New Roman" w:hAnsi="Times New Roman" w:cs="Times New Roman"/>
          <w:sz w:val="24"/>
          <w:szCs w:val="24"/>
          <w:lang w:val="en-US"/>
        </w:rPr>
        <w:t>register to offer a positive, explici</w:t>
      </w:r>
      <w:r>
        <w:rPr>
          <w:rFonts w:ascii="Times New Roman" w:eastAsia="Times New Roman" w:hAnsi="Times New Roman" w:cs="Times New Roman"/>
          <w:sz w:val="24"/>
          <w:szCs w:val="24"/>
          <w:lang w:val="en-US"/>
        </w:rPr>
        <w:t>t</w:t>
      </w:r>
      <w:r w:rsidR="000F4E8C" w:rsidRPr="000F4E8C">
        <w:rPr>
          <w:rFonts w:ascii="Times New Roman" w:eastAsia="Times New Roman" w:hAnsi="Times New Roman" w:cs="Times New Roman"/>
          <w:sz w:val="24"/>
          <w:szCs w:val="24"/>
          <w:lang w:val="en-US"/>
        </w:rPr>
        <w:t xml:space="preserve"> </w:t>
      </w:r>
      <w:r w:rsidR="000F4E8C">
        <w:rPr>
          <w:rFonts w:ascii="Times New Roman" w:eastAsia="Times New Roman" w:hAnsi="Times New Roman" w:cs="Times New Roman"/>
          <w:sz w:val="24"/>
          <w:szCs w:val="24"/>
          <w:lang w:val="en-US"/>
        </w:rPr>
        <w:t xml:space="preserve">(Mode A) </w:t>
      </w:r>
      <w:r>
        <w:rPr>
          <w:rFonts w:ascii="Times New Roman" w:eastAsia="Times New Roman" w:hAnsi="Times New Roman" w:cs="Times New Roman"/>
          <w:sz w:val="24"/>
          <w:szCs w:val="24"/>
          <w:lang w:val="en-US"/>
        </w:rPr>
        <w:t xml:space="preserve">normative </w:t>
      </w:r>
      <w:proofErr w:type="spellStart"/>
      <w:r w:rsidR="000F4E8C" w:rsidRPr="000F4E8C">
        <w:rPr>
          <w:rFonts w:ascii="Times New Roman" w:eastAsia="Times New Roman" w:hAnsi="Times New Roman" w:cs="Times New Roman"/>
          <w:sz w:val="24"/>
          <w:szCs w:val="24"/>
          <w:lang w:val="en-US"/>
        </w:rPr>
        <w:t>defence</w:t>
      </w:r>
      <w:proofErr w:type="spellEnd"/>
      <w:r w:rsidR="000F4E8C" w:rsidRPr="000F4E8C">
        <w:rPr>
          <w:rFonts w:ascii="Times New Roman" w:eastAsia="Times New Roman" w:hAnsi="Times New Roman" w:cs="Times New Roman"/>
          <w:sz w:val="24"/>
          <w:szCs w:val="24"/>
          <w:lang w:val="en-US"/>
        </w:rPr>
        <w:t xml:space="preserve"> of freedom, even if such commitments </w:t>
      </w:r>
      <w:r w:rsidR="000F4E8C">
        <w:rPr>
          <w:rFonts w:ascii="Times New Roman" w:eastAsia="Times New Roman" w:hAnsi="Times New Roman" w:cs="Times New Roman"/>
          <w:sz w:val="24"/>
          <w:szCs w:val="24"/>
          <w:lang w:val="en-US"/>
        </w:rPr>
        <w:t xml:space="preserve">often </w:t>
      </w:r>
      <w:r w:rsidR="000F4E8C" w:rsidRPr="000F4E8C">
        <w:rPr>
          <w:rFonts w:ascii="Times New Roman" w:eastAsia="Times New Roman" w:hAnsi="Times New Roman" w:cs="Times New Roman"/>
          <w:sz w:val="24"/>
          <w:szCs w:val="24"/>
          <w:lang w:val="en-US"/>
        </w:rPr>
        <w:t>remain in the background o</w:t>
      </w:r>
      <w:r w:rsidR="000F4E8C">
        <w:rPr>
          <w:rFonts w:ascii="Times New Roman" w:eastAsia="Times New Roman" w:hAnsi="Times New Roman" w:cs="Times New Roman"/>
          <w:sz w:val="24"/>
          <w:szCs w:val="24"/>
          <w:lang w:val="en-US"/>
        </w:rPr>
        <w:t>f</w:t>
      </w:r>
      <w:r w:rsidR="000F4E8C" w:rsidRPr="000F4E8C">
        <w:rPr>
          <w:rFonts w:ascii="Times New Roman" w:eastAsia="Times New Roman" w:hAnsi="Times New Roman" w:cs="Times New Roman"/>
          <w:sz w:val="24"/>
          <w:szCs w:val="24"/>
          <w:lang w:val="en-US"/>
        </w:rPr>
        <w:t xml:space="preserve"> his genealogical work.</w:t>
      </w:r>
      <w:r w:rsidR="000F4E8C">
        <w:rPr>
          <w:rFonts w:ascii="Times New Roman" w:eastAsia="Times New Roman" w:hAnsi="Times New Roman" w:cs="Times New Roman"/>
          <w:sz w:val="24"/>
          <w:szCs w:val="24"/>
          <w:lang w:val="en-US"/>
        </w:rPr>
        <w:t xml:space="preserve"> </w:t>
      </w:r>
      <w:r w:rsidRPr="00314F90">
        <w:rPr>
          <w:rFonts w:ascii="Times New Roman" w:eastAsia="Times New Roman" w:hAnsi="Times New Roman" w:cs="Times New Roman"/>
          <w:sz w:val="24"/>
          <w:szCs w:val="24"/>
          <w:lang w:val="en-US"/>
        </w:rPr>
        <w:t>In rejecting domination and tyranny, Foucault offers a justification for anti-state (or anti-hegemonic) power that is as rigorous as his analysis of state power</w:t>
      </w:r>
      <w:r w:rsidR="000F4E8C">
        <w:rPr>
          <w:rFonts w:ascii="Times New Roman" w:eastAsia="Times New Roman" w:hAnsi="Times New Roman" w:cs="Times New Roman"/>
          <w:sz w:val="24"/>
          <w:szCs w:val="24"/>
          <w:lang w:val="en-US"/>
        </w:rPr>
        <w:t xml:space="preserve"> itself</w:t>
      </w:r>
      <w:r w:rsidRPr="00314F90">
        <w:rPr>
          <w:rFonts w:ascii="Times New Roman" w:eastAsia="Times New Roman" w:hAnsi="Times New Roman" w:cs="Times New Roman"/>
          <w:sz w:val="24"/>
          <w:szCs w:val="24"/>
          <w:lang w:val="en-US"/>
        </w:rPr>
        <w:t xml:space="preserve">. He shows that because power is productive and omnipresent, freedom is not a state of liberation </w:t>
      </w:r>
      <w:r w:rsidRPr="00314F90">
        <w:rPr>
          <w:rFonts w:ascii="Times New Roman" w:eastAsia="Times New Roman" w:hAnsi="Times New Roman" w:cs="Times New Roman"/>
          <w:i/>
          <w:iCs/>
          <w:sz w:val="24"/>
          <w:szCs w:val="24"/>
          <w:lang w:val="en-US"/>
        </w:rPr>
        <w:t>from</w:t>
      </w:r>
      <w:r w:rsidRPr="00314F90">
        <w:rPr>
          <w:rFonts w:ascii="Times New Roman" w:eastAsia="Times New Roman" w:hAnsi="Times New Roman" w:cs="Times New Roman"/>
          <w:sz w:val="24"/>
          <w:szCs w:val="24"/>
          <w:lang w:val="en-US"/>
        </w:rPr>
        <w:t xml:space="preserve"> power but a practice </w:t>
      </w:r>
      <w:r w:rsidRPr="00314F90">
        <w:rPr>
          <w:rFonts w:ascii="Times New Roman" w:eastAsia="Times New Roman" w:hAnsi="Times New Roman" w:cs="Times New Roman"/>
          <w:i/>
          <w:iCs/>
          <w:sz w:val="24"/>
          <w:szCs w:val="24"/>
          <w:lang w:val="en-US"/>
        </w:rPr>
        <w:t>within</w:t>
      </w:r>
      <w:r w:rsidRPr="00314F90">
        <w:rPr>
          <w:rFonts w:ascii="Times New Roman" w:eastAsia="Times New Roman" w:hAnsi="Times New Roman" w:cs="Times New Roman"/>
          <w:sz w:val="24"/>
          <w:szCs w:val="24"/>
          <w:lang w:val="en-US"/>
        </w:rPr>
        <w:t xml:space="preserve"> it. It is the permanent activation of the “intransigence of freedom” against the ossifying tendencies of all governmentality. In this sense, Foucauldian normative theory is an eternal battleground. It is the </w:t>
      </w:r>
      <w:r w:rsidRPr="00314F90">
        <w:rPr>
          <w:rFonts w:ascii="Times New Roman" w:eastAsia="Times New Roman" w:hAnsi="Times New Roman" w:cs="Times New Roman"/>
          <w:i/>
          <w:iCs/>
          <w:sz w:val="24"/>
          <w:szCs w:val="24"/>
          <w:lang w:val="en-US"/>
        </w:rPr>
        <w:t>refusal</w:t>
      </w:r>
      <w:r w:rsidRPr="00314F90">
        <w:rPr>
          <w:rFonts w:ascii="Times New Roman" w:eastAsia="Times New Roman" w:hAnsi="Times New Roman" w:cs="Times New Roman"/>
          <w:sz w:val="24"/>
          <w:szCs w:val="24"/>
          <w:lang w:val="en-US"/>
        </w:rPr>
        <w:t xml:space="preserve"> </w:t>
      </w:r>
      <w:r w:rsidRPr="00314F90">
        <w:rPr>
          <w:rFonts w:ascii="Times New Roman" w:eastAsia="Times New Roman" w:hAnsi="Times New Roman" w:cs="Times New Roman"/>
          <w:i/>
          <w:iCs/>
          <w:sz w:val="24"/>
          <w:szCs w:val="24"/>
          <w:lang w:val="en-US"/>
        </w:rPr>
        <w:t>to submit</w:t>
      </w:r>
      <w:r w:rsidRPr="00314F90">
        <w:rPr>
          <w:rFonts w:ascii="Times New Roman" w:eastAsia="Times New Roman" w:hAnsi="Times New Roman" w:cs="Times New Roman"/>
          <w:sz w:val="24"/>
          <w:szCs w:val="24"/>
          <w:lang w:val="en-US"/>
        </w:rPr>
        <w:t xml:space="preserve"> to the “scientific or administrative inquisition which determines who we are”</w:t>
      </w:r>
      <w:r w:rsidR="00714765">
        <w:rPr>
          <w:rStyle w:val="FootnoteReference"/>
          <w:rFonts w:ascii="Times New Roman" w:eastAsia="Times New Roman" w:hAnsi="Times New Roman" w:cs="Times New Roman"/>
          <w:sz w:val="24"/>
          <w:szCs w:val="24"/>
          <w:lang w:val="en-US"/>
        </w:rPr>
        <w:footnoteReference w:id="81"/>
      </w:r>
      <w:r w:rsidR="00714765">
        <w:rPr>
          <w:rFonts w:ascii="Times New Roman" w:eastAsia="Times New Roman" w:hAnsi="Times New Roman" w:cs="Times New Roman"/>
          <w:sz w:val="24"/>
          <w:szCs w:val="24"/>
          <w:lang w:val="en-US"/>
        </w:rPr>
        <w:t xml:space="preserve"> </w:t>
      </w:r>
      <w:r w:rsidRPr="00314F90">
        <w:rPr>
          <w:rFonts w:ascii="Times New Roman" w:eastAsia="Times New Roman" w:hAnsi="Times New Roman" w:cs="Times New Roman"/>
          <w:sz w:val="24"/>
          <w:szCs w:val="24"/>
          <w:lang w:val="en-US"/>
        </w:rPr>
        <w:t xml:space="preserve">and the </w:t>
      </w:r>
      <w:r w:rsidRPr="00314F90">
        <w:rPr>
          <w:rFonts w:ascii="Times New Roman" w:eastAsia="Times New Roman" w:hAnsi="Times New Roman" w:cs="Times New Roman"/>
          <w:i/>
          <w:iCs/>
          <w:sz w:val="24"/>
          <w:szCs w:val="24"/>
          <w:lang w:val="en-US"/>
        </w:rPr>
        <w:t>courage</w:t>
      </w:r>
      <w:r w:rsidRPr="00314F90">
        <w:rPr>
          <w:rFonts w:ascii="Times New Roman" w:eastAsia="Times New Roman" w:hAnsi="Times New Roman" w:cs="Times New Roman"/>
          <w:sz w:val="24"/>
          <w:szCs w:val="24"/>
          <w:lang w:val="en-US"/>
        </w:rPr>
        <w:t xml:space="preserve"> </w:t>
      </w:r>
      <w:r w:rsidRPr="00314F90">
        <w:rPr>
          <w:rFonts w:ascii="Times New Roman" w:eastAsia="Times New Roman" w:hAnsi="Times New Roman" w:cs="Times New Roman"/>
          <w:i/>
          <w:iCs/>
          <w:sz w:val="24"/>
          <w:szCs w:val="24"/>
          <w:lang w:val="en-US"/>
        </w:rPr>
        <w:t>to engage</w:t>
      </w:r>
      <w:r w:rsidRPr="00314F90">
        <w:rPr>
          <w:rFonts w:ascii="Times New Roman" w:eastAsia="Times New Roman" w:hAnsi="Times New Roman" w:cs="Times New Roman"/>
          <w:sz w:val="24"/>
          <w:szCs w:val="24"/>
          <w:lang w:val="en-US"/>
        </w:rPr>
        <w:t xml:space="preserve"> in the “undefined work of freedom</w:t>
      </w:r>
      <w:r w:rsidR="00714765">
        <w:rPr>
          <w:rFonts w:ascii="Times New Roman" w:eastAsia="Times New Roman" w:hAnsi="Times New Roman" w:cs="Times New Roman"/>
          <w:sz w:val="24"/>
          <w:szCs w:val="24"/>
          <w:lang w:val="en-US"/>
        </w:rPr>
        <w:t>.”</w:t>
      </w:r>
      <w:r w:rsidR="00714765">
        <w:rPr>
          <w:rStyle w:val="FootnoteReference"/>
          <w:rFonts w:ascii="Times New Roman" w:eastAsia="Times New Roman" w:hAnsi="Times New Roman" w:cs="Times New Roman"/>
          <w:sz w:val="24"/>
          <w:szCs w:val="24"/>
          <w:lang w:val="en-US"/>
        </w:rPr>
        <w:footnoteReference w:id="82"/>
      </w:r>
    </w:p>
    <w:p w14:paraId="00000042" w14:textId="77777777" w:rsidR="00CC5992" w:rsidRPr="00314F90" w:rsidRDefault="00CC5992">
      <w:pPr>
        <w:spacing w:before="240" w:after="240" w:line="360" w:lineRule="auto"/>
        <w:rPr>
          <w:rFonts w:ascii="Times New Roman" w:eastAsia="Times New Roman" w:hAnsi="Times New Roman" w:cs="Times New Roman"/>
          <w:sz w:val="24"/>
          <w:szCs w:val="24"/>
          <w:lang w:val="en-US"/>
        </w:rPr>
      </w:pPr>
    </w:p>
    <w:p w14:paraId="00000043" w14:textId="77777777" w:rsidR="00CC5992" w:rsidRDefault="00000000">
      <w:pPr>
        <w:pStyle w:val="Heading2"/>
        <w:keepNext w:val="0"/>
        <w:keepLines w:val="0"/>
        <w:numPr>
          <w:ilvl w:val="0"/>
          <w:numId w:val="2"/>
        </w:numPr>
        <w:spacing w:before="280" w:line="360" w:lineRule="auto"/>
      </w:pPr>
      <w:bookmarkStart w:id="6" w:name="_ckhhtbj1uo1g" w:colFirst="0" w:colLast="0"/>
      <w:bookmarkEnd w:id="6"/>
      <w:r>
        <w:t>Conclusion</w:t>
      </w:r>
    </w:p>
    <w:p w14:paraId="00000044" w14:textId="17074FDA" w:rsidR="00CC5992" w:rsidRPr="00314F90" w:rsidRDefault="00000000">
      <w:pPr>
        <w:spacing w:before="240" w:after="240" w:line="360" w:lineRule="auto"/>
        <w:rPr>
          <w:rFonts w:ascii="Times New Roman" w:eastAsia="Times New Roman" w:hAnsi="Times New Roman" w:cs="Times New Roman"/>
          <w:sz w:val="24"/>
          <w:szCs w:val="24"/>
          <w:lang w:val="en-US"/>
        </w:rPr>
      </w:pPr>
      <w:r w:rsidRPr="00314F90">
        <w:rPr>
          <w:rFonts w:ascii="Times New Roman" w:eastAsia="Times New Roman" w:hAnsi="Times New Roman" w:cs="Times New Roman"/>
          <w:sz w:val="24"/>
          <w:szCs w:val="24"/>
          <w:lang w:val="en-US"/>
        </w:rPr>
        <w:t xml:space="preserve">This chapter began with Foucault’s provocation that </w:t>
      </w:r>
      <w:r w:rsidR="0053279D" w:rsidRPr="0053279D">
        <w:rPr>
          <w:rFonts w:ascii="Times New Roman" w:eastAsia="Times New Roman" w:hAnsi="Times New Roman" w:cs="Times New Roman"/>
          <w:sz w:val="24"/>
          <w:szCs w:val="24"/>
          <w:lang w:val="en-US"/>
        </w:rPr>
        <w:t xml:space="preserve">the state does not exist </w:t>
      </w:r>
      <w:r w:rsidR="00ED630B">
        <w:rPr>
          <w:rFonts w:ascii="Times New Roman" w:eastAsia="Times New Roman" w:hAnsi="Times New Roman" w:cs="Times New Roman"/>
          <w:sz w:val="24"/>
          <w:szCs w:val="24"/>
          <w:lang w:val="en-US"/>
        </w:rPr>
        <w:t>as a unitary</w:t>
      </w:r>
      <w:r w:rsidR="00B0251D">
        <w:rPr>
          <w:rFonts w:ascii="Times New Roman" w:eastAsia="Times New Roman" w:hAnsi="Times New Roman" w:cs="Times New Roman"/>
          <w:sz w:val="24"/>
          <w:szCs w:val="24"/>
          <w:lang w:val="en-US"/>
        </w:rPr>
        <w:t xml:space="preserve"> and autonomous</w:t>
      </w:r>
      <w:r w:rsidR="00ED630B">
        <w:rPr>
          <w:rFonts w:ascii="Times New Roman" w:eastAsia="Times New Roman" w:hAnsi="Times New Roman" w:cs="Times New Roman"/>
          <w:sz w:val="24"/>
          <w:szCs w:val="24"/>
          <w:lang w:val="en-US"/>
        </w:rPr>
        <w:t xml:space="preserve"> </w:t>
      </w:r>
      <w:r w:rsidR="00B0251D">
        <w:rPr>
          <w:rFonts w:ascii="Times New Roman" w:eastAsia="Times New Roman" w:hAnsi="Times New Roman" w:cs="Times New Roman"/>
          <w:sz w:val="24"/>
          <w:szCs w:val="24"/>
          <w:lang w:val="en-US"/>
        </w:rPr>
        <w:t>entity</w:t>
      </w:r>
      <w:r w:rsidRPr="00314F90">
        <w:rPr>
          <w:rFonts w:ascii="Times New Roman" w:eastAsia="Times New Roman" w:hAnsi="Times New Roman" w:cs="Times New Roman"/>
          <w:sz w:val="24"/>
          <w:szCs w:val="24"/>
          <w:lang w:val="en-US"/>
        </w:rPr>
        <w:t xml:space="preserve">. We are now able to understand the full weight of that claim in relation to the justification of power. Foucault does not deny the reality of state institutions that tax, jail, and monitor us. Rather, he denies that these institutions possess an intrinsic legitimacy derived from a single source, whether it be the Divine Right of Kings or the Social Contract. By refusing the </w:t>
      </w:r>
      <w:r w:rsidRPr="00314F90">
        <w:rPr>
          <w:rFonts w:ascii="Times New Roman" w:eastAsia="Times New Roman" w:hAnsi="Times New Roman" w:cs="Times New Roman"/>
          <w:i/>
          <w:iCs/>
          <w:sz w:val="24"/>
          <w:szCs w:val="24"/>
          <w:lang w:val="en-US"/>
        </w:rPr>
        <w:t>Mode A</w:t>
      </w:r>
      <w:r w:rsidRPr="00314F90">
        <w:rPr>
          <w:rFonts w:ascii="Times New Roman" w:eastAsia="Times New Roman" w:hAnsi="Times New Roman" w:cs="Times New Roman"/>
          <w:sz w:val="24"/>
          <w:szCs w:val="24"/>
          <w:lang w:val="en-US"/>
        </w:rPr>
        <w:t xml:space="preserve"> approach of normative political theory, Foucault forces us to confront the state not as a moral necessity, but as a “structural effect” of the shifting practices of governmentality.</w:t>
      </w:r>
    </w:p>
    <w:p w14:paraId="00000045" w14:textId="77777777" w:rsidR="00CC5992" w:rsidRPr="00314F90" w:rsidRDefault="00000000">
      <w:pPr>
        <w:spacing w:before="240" w:after="240" w:line="360" w:lineRule="auto"/>
        <w:rPr>
          <w:rFonts w:ascii="Times New Roman" w:eastAsia="Times New Roman" w:hAnsi="Times New Roman" w:cs="Times New Roman"/>
          <w:sz w:val="24"/>
          <w:szCs w:val="24"/>
          <w:lang w:val="en-US"/>
        </w:rPr>
      </w:pPr>
      <w:r w:rsidRPr="00314F90">
        <w:rPr>
          <w:rFonts w:ascii="Times New Roman" w:eastAsia="Times New Roman" w:hAnsi="Times New Roman" w:cs="Times New Roman"/>
          <w:sz w:val="24"/>
          <w:szCs w:val="24"/>
          <w:lang w:val="en-US"/>
        </w:rPr>
        <w:t xml:space="preserve">Through the </w:t>
      </w:r>
      <w:r w:rsidRPr="00314F90">
        <w:rPr>
          <w:rFonts w:ascii="Times New Roman" w:eastAsia="Times New Roman" w:hAnsi="Times New Roman" w:cs="Times New Roman"/>
          <w:i/>
          <w:iCs/>
          <w:sz w:val="24"/>
          <w:szCs w:val="24"/>
          <w:lang w:val="en-US"/>
        </w:rPr>
        <w:t>Mode C</w:t>
      </w:r>
      <w:r w:rsidRPr="00314F90">
        <w:rPr>
          <w:rFonts w:ascii="Times New Roman" w:eastAsia="Times New Roman" w:hAnsi="Times New Roman" w:cs="Times New Roman"/>
          <w:sz w:val="24"/>
          <w:szCs w:val="24"/>
          <w:lang w:val="en-US"/>
        </w:rPr>
        <w:t xml:space="preserve"> analysis of genealogy, we have traced how the justifications for state power have mutated over time. We saw how the </w:t>
      </w:r>
      <w:r w:rsidRPr="00314F90">
        <w:rPr>
          <w:rFonts w:ascii="Times New Roman" w:eastAsia="Times New Roman" w:hAnsi="Times New Roman" w:cs="Times New Roman"/>
          <w:i/>
          <w:iCs/>
          <w:sz w:val="24"/>
          <w:szCs w:val="24"/>
          <w:lang w:val="en-US"/>
        </w:rPr>
        <w:t>sovereign</w:t>
      </w:r>
      <w:r w:rsidRPr="00314F90">
        <w:rPr>
          <w:rFonts w:ascii="Times New Roman" w:eastAsia="Times New Roman" w:hAnsi="Times New Roman" w:cs="Times New Roman"/>
          <w:sz w:val="24"/>
          <w:szCs w:val="24"/>
          <w:lang w:val="en-US"/>
        </w:rPr>
        <w:t xml:space="preserve"> justification (the defence of the territory and the law) was supplemented and transformed by the </w:t>
      </w:r>
      <w:r w:rsidRPr="00314F90">
        <w:rPr>
          <w:rFonts w:ascii="Times New Roman" w:eastAsia="Times New Roman" w:hAnsi="Times New Roman" w:cs="Times New Roman"/>
          <w:i/>
          <w:iCs/>
          <w:sz w:val="24"/>
          <w:szCs w:val="24"/>
          <w:lang w:val="en-US"/>
        </w:rPr>
        <w:t>disciplinary</w:t>
      </w:r>
      <w:r w:rsidRPr="00314F90">
        <w:rPr>
          <w:rFonts w:ascii="Times New Roman" w:eastAsia="Times New Roman" w:hAnsi="Times New Roman" w:cs="Times New Roman"/>
          <w:sz w:val="24"/>
          <w:szCs w:val="24"/>
          <w:lang w:val="en-US"/>
        </w:rPr>
        <w:t xml:space="preserve"> justification (the correction of the abnormal individual) and the </w:t>
      </w:r>
      <w:r w:rsidRPr="00314F90">
        <w:rPr>
          <w:rFonts w:ascii="Times New Roman" w:eastAsia="Times New Roman" w:hAnsi="Times New Roman" w:cs="Times New Roman"/>
          <w:i/>
          <w:iCs/>
          <w:sz w:val="24"/>
          <w:szCs w:val="24"/>
          <w:lang w:val="en-US"/>
        </w:rPr>
        <w:t>biopolitical</w:t>
      </w:r>
      <w:r w:rsidRPr="00314F90">
        <w:rPr>
          <w:rFonts w:ascii="Times New Roman" w:eastAsia="Times New Roman" w:hAnsi="Times New Roman" w:cs="Times New Roman"/>
          <w:sz w:val="24"/>
          <w:szCs w:val="24"/>
          <w:lang w:val="en-US"/>
        </w:rPr>
        <w:t xml:space="preserve"> justification (the security and wellbeing of the population). The modern state </w:t>
      </w:r>
      <w:proofErr w:type="spellStart"/>
      <w:r w:rsidRPr="00314F90">
        <w:rPr>
          <w:rFonts w:ascii="Times New Roman" w:eastAsia="Times New Roman" w:hAnsi="Times New Roman" w:cs="Times New Roman"/>
          <w:sz w:val="24"/>
          <w:szCs w:val="24"/>
          <w:lang w:val="en-US"/>
        </w:rPr>
        <w:t>legitimises</w:t>
      </w:r>
      <w:proofErr w:type="spellEnd"/>
      <w:r w:rsidRPr="00314F90">
        <w:rPr>
          <w:rFonts w:ascii="Times New Roman" w:eastAsia="Times New Roman" w:hAnsi="Times New Roman" w:cs="Times New Roman"/>
          <w:sz w:val="24"/>
          <w:szCs w:val="24"/>
          <w:lang w:val="en-US"/>
        </w:rPr>
        <w:t xml:space="preserve"> itself today through a complex, triangular integration of these logics. It claims the right to rule because it protects us from external enemies, </w:t>
      </w:r>
      <w:proofErr w:type="spellStart"/>
      <w:r w:rsidRPr="00314F90">
        <w:rPr>
          <w:rFonts w:ascii="Times New Roman" w:eastAsia="Times New Roman" w:hAnsi="Times New Roman" w:cs="Times New Roman"/>
          <w:sz w:val="24"/>
          <w:szCs w:val="24"/>
          <w:lang w:val="en-US"/>
        </w:rPr>
        <w:t>normalises</w:t>
      </w:r>
      <w:proofErr w:type="spellEnd"/>
      <w:r w:rsidRPr="00314F90">
        <w:rPr>
          <w:rFonts w:ascii="Times New Roman" w:eastAsia="Times New Roman" w:hAnsi="Times New Roman" w:cs="Times New Roman"/>
          <w:sz w:val="24"/>
          <w:szCs w:val="24"/>
          <w:lang w:val="en-US"/>
        </w:rPr>
        <w:t xml:space="preserve"> our </w:t>
      </w:r>
      <w:proofErr w:type="spellStart"/>
      <w:r w:rsidRPr="00314F90">
        <w:rPr>
          <w:rFonts w:ascii="Times New Roman" w:eastAsia="Times New Roman" w:hAnsi="Times New Roman" w:cs="Times New Roman"/>
          <w:sz w:val="24"/>
          <w:szCs w:val="24"/>
          <w:lang w:val="en-US"/>
        </w:rPr>
        <w:t>behaviour</w:t>
      </w:r>
      <w:proofErr w:type="spellEnd"/>
      <w:r w:rsidRPr="00314F90">
        <w:rPr>
          <w:rFonts w:ascii="Times New Roman" w:eastAsia="Times New Roman" w:hAnsi="Times New Roman" w:cs="Times New Roman"/>
          <w:sz w:val="24"/>
          <w:szCs w:val="24"/>
          <w:lang w:val="en-US"/>
        </w:rPr>
        <w:t xml:space="preserve"> for productivity, and insures us against the biological risks of life.</w:t>
      </w:r>
    </w:p>
    <w:p w14:paraId="00000046" w14:textId="77777777" w:rsidR="00CC5992" w:rsidRPr="00314F90" w:rsidRDefault="00000000">
      <w:pPr>
        <w:spacing w:before="240" w:after="240" w:line="360" w:lineRule="auto"/>
        <w:rPr>
          <w:rFonts w:ascii="Times New Roman" w:eastAsia="Times New Roman" w:hAnsi="Times New Roman" w:cs="Times New Roman"/>
          <w:sz w:val="24"/>
          <w:szCs w:val="24"/>
          <w:lang w:val="en-US"/>
        </w:rPr>
      </w:pPr>
      <w:r w:rsidRPr="00314F90">
        <w:rPr>
          <w:rFonts w:ascii="Times New Roman" w:eastAsia="Times New Roman" w:hAnsi="Times New Roman" w:cs="Times New Roman"/>
          <w:sz w:val="24"/>
          <w:szCs w:val="24"/>
          <w:lang w:val="en-US"/>
        </w:rPr>
        <w:t xml:space="preserve">However, Foucault’s ultimate contribution to debates on the justification of state power is his insistence that this justification is never settled. Because power is not a possession but a relation, the legitimacy of the state is constantly produced, and constantly contested, in the friction between the </w:t>
      </w:r>
      <w:r w:rsidRPr="00314F90">
        <w:rPr>
          <w:rFonts w:ascii="Times New Roman" w:eastAsia="Times New Roman" w:hAnsi="Times New Roman" w:cs="Times New Roman"/>
          <w:i/>
          <w:iCs/>
          <w:sz w:val="24"/>
          <w:szCs w:val="24"/>
          <w:lang w:val="en-US"/>
        </w:rPr>
        <w:t>governing</w:t>
      </w:r>
      <w:r w:rsidRPr="00314F90">
        <w:rPr>
          <w:rFonts w:ascii="Times New Roman" w:eastAsia="Times New Roman" w:hAnsi="Times New Roman" w:cs="Times New Roman"/>
          <w:sz w:val="24"/>
          <w:szCs w:val="24"/>
          <w:lang w:val="en-US"/>
        </w:rPr>
        <w:t xml:space="preserve"> and the </w:t>
      </w:r>
      <w:r w:rsidRPr="00314F90">
        <w:rPr>
          <w:rFonts w:ascii="Times New Roman" w:eastAsia="Times New Roman" w:hAnsi="Times New Roman" w:cs="Times New Roman"/>
          <w:i/>
          <w:iCs/>
          <w:sz w:val="24"/>
          <w:szCs w:val="24"/>
          <w:lang w:val="en-US"/>
        </w:rPr>
        <w:t>governed</w:t>
      </w:r>
      <w:r w:rsidRPr="00314F90">
        <w:rPr>
          <w:rFonts w:ascii="Times New Roman" w:eastAsia="Times New Roman" w:hAnsi="Times New Roman" w:cs="Times New Roman"/>
          <w:sz w:val="24"/>
          <w:szCs w:val="24"/>
          <w:lang w:val="en-US"/>
        </w:rPr>
        <w:t xml:space="preserve">. Whether through the critique of the asylum, the questioning of welfare rationality, or the investigation of neoliberal governance, Foucault exposes the shifting “grid of intelligibility” that makes state power appear natural. </w:t>
      </w:r>
    </w:p>
    <w:p w14:paraId="00000049" w14:textId="37E68210" w:rsidR="00CC5992" w:rsidRPr="00314F90" w:rsidRDefault="00000000" w:rsidP="00FD4309">
      <w:pPr>
        <w:spacing w:before="240" w:after="240" w:line="360" w:lineRule="auto"/>
        <w:rPr>
          <w:rFonts w:ascii="Times New Roman" w:eastAsia="Times New Roman" w:hAnsi="Times New Roman" w:cs="Times New Roman"/>
          <w:sz w:val="24"/>
          <w:szCs w:val="24"/>
          <w:lang w:val="en-US"/>
        </w:rPr>
      </w:pPr>
      <w:r w:rsidRPr="00314F90">
        <w:rPr>
          <w:rFonts w:ascii="Times New Roman" w:eastAsia="Times New Roman" w:hAnsi="Times New Roman" w:cs="Times New Roman"/>
          <w:sz w:val="24"/>
          <w:szCs w:val="24"/>
          <w:lang w:val="en-US"/>
        </w:rPr>
        <w:t>In doing so, he provides the governed with a toolkit for what he called “the undefined work of freedom</w:t>
      </w:r>
      <w:r w:rsidR="009F137D">
        <w:rPr>
          <w:rFonts w:ascii="Times New Roman" w:eastAsia="Times New Roman" w:hAnsi="Times New Roman" w:cs="Times New Roman"/>
          <w:sz w:val="24"/>
          <w:szCs w:val="24"/>
          <w:lang w:val="en-US"/>
        </w:rPr>
        <w:t>.”</w:t>
      </w:r>
      <w:r w:rsidR="009F137D">
        <w:rPr>
          <w:rStyle w:val="FootnoteReference"/>
          <w:rFonts w:ascii="Times New Roman" w:eastAsia="Times New Roman" w:hAnsi="Times New Roman" w:cs="Times New Roman"/>
          <w:sz w:val="24"/>
          <w:szCs w:val="24"/>
          <w:lang w:val="en-US"/>
        </w:rPr>
        <w:footnoteReference w:id="83"/>
      </w:r>
      <w:r w:rsidRPr="00314F90">
        <w:rPr>
          <w:rFonts w:ascii="Times New Roman" w:eastAsia="Times New Roman" w:hAnsi="Times New Roman" w:cs="Times New Roman"/>
          <w:sz w:val="24"/>
          <w:szCs w:val="24"/>
          <w:lang w:val="en-US"/>
        </w:rPr>
        <w:t xml:space="preserve"> Ultimately, questioning the state is not merely an intellectual exercise but a practical, ethical task. By revealing the historical contingency of the state’s truth claims, Foucault empowers the subject to engage in </w:t>
      </w:r>
      <w:r w:rsidRPr="00314F90">
        <w:rPr>
          <w:rFonts w:ascii="Times New Roman" w:eastAsia="Times New Roman" w:hAnsi="Times New Roman" w:cs="Times New Roman"/>
          <w:i/>
          <w:iCs/>
          <w:sz w:val="24"/>
          <w:szCs w:val="24"/>
          <w:lang w:val="en-US"/>
        </w:rPr>
        <w:t>agonism</w:t>
      </w:r>
      <w:r w:rsidRPr="00314F90">
        <w:rPr>
          <w:rFonts w:ascii="Times New Roman" w:eastAsia="Times New Roman" w:hAnsi="Times New Roman" w:cs="Times New Roman"/>
          <w:sz w:val="24"/>
          <w:szCs w:val="24"/>
          <w:lang w:val="en-US"/>
        </w:rPr>
        <w:t xml:space="preserve">: a permanent “provocation” that incites power to reveal its limits. The normative “legitimacy” of the state, therefore, is not found in </w:t>
      </w:r>
      <w:r w:rsidRPr="00314F90">
        <w:rPr>
          <w:rFonts w:ascii="Times New Roman" w:eastAsia="Times New Roman" w:hAnsi="Times New Roman" w:cs="Times New Roman"/>
          <w:sz w:val="24"/>
          <w:szCs w:val="24"/>
          <w:lang w:val="en-US"/>
        </w:rPr>
        <w:lastRenderedPageBreak/>
        <w:t xml:space="preserve">some definitive </w:t>
      </w:r>
      <w:r w:rsidRPr="00314F90">
        <w:rPr>
          <w:rFonts w:ascii="Times New Roman" w:eastAsia="Times New Roman" w:hAnsi="Times New Roman" w:cs="Times New Roman"/>
          <w:i/>
          <w:iCs/>
          <w:sz w:val="24"/>
          <w:szCs w:val="24"/>
          <w:lang w:val="en-US"/>
        </w:rPr>
        <w:t>Ur</w:t>
      </w:r>
      <w:r w:rsidRPr="00314F90">
        <w:rPr>
          <w:rFonts w:ascii="Times New Roman" w:eastAsia="Times New Roman" w:hAnsi="Times New Roman" w:cs="Times New Roman"/>
          <w:sz w:val="24"/>
          <w:szCs w:val="24"/>
          <w:lang w:val="en-US"/>
        </w:rPr>
        <w:t>-moment (like the Constitution). It is found in the perpetual, uneasy negotiation between the state’s will (for the right) to rule and be obeyed, and the subject’s intransigent will (for the right) to be governed differently.</w:t>
      </w:r>
    </w:p>
    <w:sectPr w:rsidR="00CC5992" w:rsidRPr="00314F90">
      <w:headerReference w:type="default" r:id="rId10"/>
      <w:headerReference w:type="first" r:id="rId11"/>
      <w:pgSz w:w="11909" w:h="16834"/>
      <w:pgMar w:top="1440" w:right="1440" w:bottom="1440" w:left="1440" w:header="720"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4F15A9A" w14:textId="77777777" w:rsidR="00023F5D" w:rsidRDefault="00023F5D">
      <w:pPr>
        <w:spacing w:line="240" w:lineRule="auto"/>
      </w:pPr>
      <w:r>
        <w:separator/>
      </w:r>
    </w:p>
  </w:endnote>
  <w:endnote w:type="continuationSeparator" w:id="0">
    <w:p w14:paraId="77348746" w14:textId="77777777" w:rsidR="00023F5D" w:rsidRDefault="00023F5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027EC6B3-B5FC-4761-8A63-365FAF427481}"/>
  </w:font>
  <w:font w:name="Cambria">
    <w:panose1 w:val="02040503050406030204"/>
    <w:charset w:val="00"/>
    <w:family w:val="roman"/>
    <w:pitch w:val="variable"/>
    <w:sig w:usb0="E00006FF" w:usb1="420024FF" w:usb2="02000000" w:usb3="00000000" w:csb0="0000019F" w:csb1="00000000"/>
    <w:embedRegular r:id="rId2" w:fontKey="{E438EBBF-3285-4C1C-9798-036E4A268227}"/>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3144B9A" w14:textId="77777777" w:rsidR="00023F5D" w:rsidRDefault="00023F5D">
      <w:pPr>
        <w:spacing w:line="240" w:lineRule="auto"/>
      </w:pPr>
      <w:r>
        <w:separator/>
      </w:r>
    </w:p>
  </w:footnote>
  <w:footnote w:type="continuationSeparator" w:id="0">
    <w:p w14:paraId="47357262" w14:textId="77777777" w:rsidR="00023F5D" w:rsidRDefault="00023F5D">
      <w:pPr>
        <w:spacing w:line="240" w:lineRule="auto"/>
      </w:pPr>
      <w:r>
        <w:continuationSeparator/>
      </w:r>
    </w:p>
  </w:footnote>
  <w:footnote w:id="1">
    <w:p w14:paraId="1C7A6413" w14:textId="15292B7B" w:rsidR="00314F90" w:rsidRPr="00314F90" w:rsidRDefault="00314F90">
      <w:pPr>
        <w:pStyle w:val="FootnoteText"/>
        <w:rPr>
          <w:lang w:val="en-US"/>
        </w:rPr>
      </w:pPr>
      <w:r>
        <w:rPr>
          <w:rStyle w:val="FootnoteReference"/>
        </w:rPr>
        <w:footnoteRef/>
      </w:r>
      <w:r w:rsidRPr="00314F90">
        <w:rPr>
          <w:lang w:val="en-US"/>
        </w:rPr>
        <w:t xml:space="preserve"> Michel Foucault, </w:t>
      </w:r>
      <w:r w:rsidRPr="00314F90">
        <w:rPr>
          <w:i/>
          <w:iCs/>
          <w:lang w:val="en-US"/>
        </w:rPr>
        <w:t>The Birth of Biopolitics: Lectures at the Collège de France, 1978–1979</w:t>
      </w:r>
      <w:r w:rsidRPr="00314F90">
        <w:rPr>
          <w:lang w:val="en-US"/>
        </w:rPr>
        <w:t>, ed. by Michel Senellart (</w:t>
      </w:r>
      <w:r w:rsidR="00F03FF7">
        <w:rPr>
          <w:lang w:val="en-US"/>
        </w:rPr>
        <w:t xml:space="preserve">Basingstoke: </w:t>
      </w:r>
      <w:r w:rsidRPr="00314F90">
        <w:rPr>
          <w:lang w:val="en-US"/>
        </w:rPr>
        <w:t xml:space="preserve">Palgrave Macmillan, 2008), p. 76. See also Mitchell Dean and Kaspar Villadsen, </w:t>
      </w:r>
      <w:r w:rsidRPr="00314F90">
        <w:rPr>
          <w:i/>
          <w:iCs/>
          <w:lang w:val="en-US"/>
        </w:rPr>
        <w:t>State Phobia and Civil Society: The Political Legacy of Michel Foucault</w:t>
      </w:r>
      <w:r w:rsidRPr="00314F90">
        <w:rPr>
          <w:lang w:val="en-US"/>
        </w:rPr>
        <w:t xml:space="preserve"> (</w:t>
      </w:r>
      <w:r w:rsidR="0044319A">
        <w:rPr>
          <w:lang w:val="en-US"/>
        </w:rPr>
        <w:t xml:space="preserve">Stanford: </w:t>
      </w:r>
      <w:r w:rsidRPr="00314F90">
        <w:rPr>
          <w:lang w:val="en-US"/>
        </w:rPr>
        <w:t>Stanford University Press, 2016).</w:t>
      </w:r>
    </w:p>
  </w:footnote>
  <w:footnote w:id="2">
    <w:p w14:paraId="2E2ED843" w14:textId="4A4010B5" w:rsidR="00314F90" w:rsidRPr="00314F90" w:rsidRDefault="00314F90">
      <w:pPr>
        <w:pStyle w:val="FootnoteText"/>
        <w:rPr>
          <w:lang w:val="en-US"/>
        </w:rPr>
      </w:pPr>
      <w:r>
        <w:rPr>
          <w:rStyle w:val="FootnoteReference"/>
        </w:rPr>
        <w:footnoteRef/>
      </w:r>
      <w:r w:rsidRPr="00314F90">
        <w:rPr>
          <w:lang w:val="en-US"/>
        </w:rPr>
        <w:t xml:space="preserve"> Foucault, </w:t>
      </w:r>
      <w:r w:rsidRPr="00314F90">
        <w:rPr>
          <w:i/>
          <w:iCs/>
          <w:lang w:val="en-US"/>
        </w:rPr>
        <w:t>The Birth of Biopolitics</w:t>
      </w:r>
      <w:r w:rsidRPr="00314F90">
        <w:rPr>
          <w:lang w:val="en-US"/>
        </w:rPr>
        <w:t>, p. 77.</w:t>
      </w:r>
    </w:p>
  </w:footnote>
  <w:footnote w:id="3">
    <w:p w14:paraId="21AFDF86" w14:textId="6CFEDEF9" w:rsidR="00314F90" w:rsidRPr="00314F90" w:rsidRDefault="00314F90">
      <w:pPr>
        <w:pStyle w:val="FootnoteText"/>
        <w:rPr>
          <w:lang w:val="en-US"/>
        </w:rPr>
      </w:pPr>
      <w:r>
        <w:rPr>
          <w:rStyle w:val="FootnoteReference"/>
        </w:rPr>
        <w:footnoteRef/>
      </w:r>
      <w:r w:rsidRPr="00314F90">
        <w:rPr>
          <w:lang w:val="en-US"/>
        </w:rPr>
        <w:t xml:space="preserve"> Foucault, </w:t>
      </w:r>
      <w:r w:rsidRPr="00314F90">
        <w:rPr>
          <w:i/>
          <w:iCs/>
          <w:lang w:val="en-US"/>
        </w:rPr>
        <w:t>The Birth of Biopolitics</w:t>
      </w:r>
      <w:r w:rsidRPr="00314F90">
        <w:rPr>
          <w:lang w:val="en-US"/>
        </w:rPr>
        <w:t xml:space="preserve">, p. 77. See also Timothy Mitchell, 'The Limits of the State: Beyond Statist Approaches and Their Critics', </w:t>
      </w:r>
      <w:r w:rsidRPr="00314F90">
        <w:rPr>
          <w:i/>
          <w:iCs/>
          <w:lang w:val="en-US"/>
        </w:rPr>
        <w:t>American Political Science Review</w:t>
      </w:r>
      <w:r w:rsidRPr="00314F90">
        <w:rPr>
          <w:lang w:val="en-US"/>
        </w:rPr>
        <w:t xml:space="preserve">, 85.1 (1991), 77–96, </w:t>
      </w:r>
      <w:proofErr w:type="spellStart"/>
      <w:r w:rsidR="00325F5C">
        <w:rPr>
          <w:lang w:val="en-US"/>
        </w:rPr>
        <w:t>doi</w:t>
      </w:r>
      <w:proofErr w:type="spellEnd"/>
      <w:r w:rsidR="007034DC">
        <w:rPr>
          <w:lang w:val="en-US"/>
        </w:rPr>
        <w:t>:</w:t>
      </w:r>
      <w:r w:rsidRPr="00314F90">
        <w:rPr>
          <w:lang w:val="en-US"/>
        </w:rPr>
        <w:t xml:space="preserve"> 10.2307/1962879; Bob Jessop, </w:t>
      </w:r>
      <w:r w:rsidRPr="00314F90">
        <w:rPr>
          <w:i/>
          <w:iCs/>
          <w:lang w:val="en-US"/>
        </w:rPr>
        <w:t>State Power: A Strategic-Relational Approach</w:t>
      </w:r>
      <w:r w:rsidRPr="00314F90">
        <w:rPr>
          <w:lang w:val="en-US"/>
        </w:rPr>
        <w:t xml:space="preserve"> (</w:t>
      </w:r>
      <w:r w:rsidR="0044319A">
        <w:rPr>
          <w:lang w:val="en-US"/>
        </w:rPr>
        <w:t xml:space="preserve">Cambridge: </w:t>
      </w:r>
      <w:r w:rsidRPr="00314F90">
        <w:rPr>
          <w:lang w:val="en-US"/>
        </w:rPr>
        <w:t>Polity Press, 2007).</w:t>
      </w:r>
    </w:p>
  </w:footnote>
  <w:footnote w:id="4">
    <w:p w14:paraId="7B2E573B" w14:textId="5CAD5263" w:rsidR="000609B2" w:rsidRPr="00F15FAC" w:rsidRDefault="000609B2">
      <w:pPr>
        <w:pStyle w:val="FootnoteText"/>
        <w:rPr>
          <w:lang w:val="en-US"/>
        </w:rPr>
      </w:pPr>
      <w:r>
        <w:rPr>
          <w:rStyle w:val="FootnoteReference"/>
        </w:rPr>
        <w:footnoteRef/>
      </w:r>
      <w:r w:rsidRPr="00F15FAC">
        <w:rPr>
          <w:lang w:val="en-US"/>
        </w:rPr>
        <w:t xml:space="preserve"> </w:t>
      </w:r>
      <w:r w:rsidRPr="000609B2">
        <w:rPr>
          <w:lang w:val="en-US"/>
        </w:rPr>
        <w:t xml:space="preserve">Thomas Hobbes, </w:t>
      </w:r>
      <w:r w:rsidRPr="00F15FAC">
        <w:rPr>
          <w:i/>
          <w:iCs/>
          <w:lang w:val="en-US"/>
        </w:rPr>
        <w:t>Leviathan</w:t>
      </w:r>
      <w:r w:rsidRPr="000609B2">
        <w:rPr>
          <w:lang w:val="en-US"/>
        </w:rPr>
        <w:t xml:space="preserve">, ed. by Richard Tuck (Cambridge: Cambridge University Press, 1996); John Locke, </w:t>
      </w:r>
      <w:r w:rsidRPr="00F15FAC">
        <w:rPr>
          <w:i/>
          <w:iCs/>
          <w:lang w:val="en-US"/>
        </w:rPr>
        <w:t>Two Treatises of Governmen</w:t>
      </w:r>
      <w:r w:rsidRPr="000609B2">
        <w:rPr>
          <w:lang w:val="en-US"/>
        </w:rPr>
        <w:t xml:space="preserve">t, ed. by Peter </w:t>
      </w:r>
      <w:proofErr w:type="spellStart"/>
      <w:r w:rsidRPr="000609B2">
        <w:rPr>
          <w:lang w:val="en-US"/>
        </w:rPr>
        <w:t>Laslett</w:t>
      </w:r>
      <w:proofErr w:type="spellEnd"/>
      <w:r w:rsidRPr="000609B2">
        <w:rPr>
          <w:lang w:val="en-US"/>
        </w:rPr>
        <w:t xml:space="preserve"> (Cambridge: Cambridge University Press, 1988); John Rawls, </w:t>
      </w:r>
      <w:r w:rsidRPr="00F15FAC">
        <w:rPr>
          <w:i/>
          <w:iCs/>
          <w:lang w:val="en-US"/>
        </w:rPr>
        <w:t>A Theory of Justice</w:t>
      </w:r>
      <w:r w:rsidRPr="000609B2">
        <w:rPr>
          <w:lang w:val="en-US"/>
        </w:rPr>
        <w:t xml:space="preserve"> (Cambridge, MA: Harvard University Press, 1971).</w:t>
      </w:r>
    </w:p>
  </w:footnote>
  <w:footnote w:id="5">
    <w:p w14:paraId="78B431CD" w14:textId="2C5B21F2" w:rsidR="000609B2" w:rsidRPr="00F15FAC" w:rsidRDefault="000609B2">
      <w:pPr>
        <w:pStyle w:val="FootnoteText"/>
        <w:rPr>
          <w:lang w:val="en-US"/>
        </w:rPr>
      </w:pPr>
      <w:r>
        <w:rPr>
          <w:rStyle w:val="FootnoteReference"/>
        </w:rPr>
        <w:footnoteRef/>
      </w:r>
      <w:r w:rsidRPr="00F15FAC">
        <w:rPr>
          <w:lang w:val="en-US"/>
        </w:rPr>
        <w:t xml:space="preserve"> </w:t>
      </w:r>
      <w:r w:rsidR="008F307B" w:rsidRPr="008F307B">
        <w:rPr>
          <w:lang w:val="en-US"/>
        </w:rPr>
        <w:t xml:space="preserve">Max Weber, </w:t>
      </w:r>
      <w:r w:rsidR="008F307B" w:rsidRPr="00F15FAC">
        <w:rPr>
          <w:i/>
          <w:iCs/>
          <w:lang w:val="en-US"/>
        </w:rPr>
        <w:t>Economy and Society: A New Translation</w:t>
      </w:r>
      <w:r w:rsidR="008F307B" w:rsidRPr="008F307B">
        <w:rPr>
          <w:lang w:val="en-US"/>
        </w:rPr>
        <w:t xml:space="preserve">, trans. and ed. by Keith Tribe (Cambridge, MA: Harvard University Press, 2019); Niccolò Machiavelli, </w:t>
      </w:r>
      <w:r w:rsidR="008F307B" w:rsidRPr="00F15FAC">
        <w:rPr>
          <w:i/>
          <w:iCs/>
          <w:lang w:val="en-US"/>
        </w:rPr>
        <w:t>The Prince</w:t>
      </w:r>
      <w:r w:rsidR="008F307B" w:rsidRPr="008F307B">
        <w:rPr>
          <w:lang w:val="en-US"/>
        </w:rPr>
        <w:t xml:space="preserve">, ed. by Quentin Skinner and Russell Price (Cambridge: Cambridge University Press, 1988); Raymond </w:t>
      </w:r>
      <w:proofErr w:type="spellStart"/>
      <w:r w:rsidR="008F307B" w:rsidRPr="008F307B">
        <w:rPr>
          <w:lang w:val="en-US"/>
        </w:rPr>
        <w:t>Geuss</w:t>
      </w:r>
      <w:proofErr w:type="spellEnd"/>
      <w:r w:rsidR="008F307B" w:rsidRPr="008F307B">
        <w:rPr>
          <w:lang w:val="en-US"/>
        </w:rPr>
        <w:t xml:space="preserve">, </w:t>
      </w:r>
      <w:r w:rsidR="008F307B" w:rsidRPr="00F15FAC">
        <w:rPr>
          <w:i/>
          <w:iCs/>
          <w:lang w:val="en-US"/>
        </w:rPr>
        <w:t>Philosophy and Real Politics</w:t>
      </w:r>
      <w:r w:rsidR="008F307B" w:rsidRPr="008F307B">
        <w:rPr>
          <w:lang w:val="en-US"/>
        </w:rPr>
        <w:t xml:space="preserve"> (Princeton: Princeton University Press, 2008).</w:t>
      </w:r>
    </w:p>
  </w:footnote>
  <w:footnote w:id="6">
    <w:p w14:paraId="5721C8D0" w14:textId="4CD760FB" w:rsidR="00314F90" w:rsidRPr="00314F90" w:rsidRDefault="00314F90">
      <w:pPr>
        <w:pStyle w:val="FootnoteText"/>
        <w:rPr>
          <w:lang w:val="en-US"/>
        </w:rPr>
      </w:pPr>
      <w:r>
        <w:rPr>
          <w:rStyle w:val="FootnoteReference"/>
        </w:rPr>
        <w:footnoteRef/>
      </w:r>
      <w:r w:rsidRPr="00314F90">
        <w:rPr>
          <w:lang w:val="en-US"/>
        </w:rPr>
        <w:t xml:space="preserve"> Michel Foucault, </w:t>
      </w:r>
      <w:r w:rsidRPr="00314F90">
        <w:rPr>
          <w:i/>
          <w:iCs/>
          <w:lang w:val="en-US"/>
        </w:rPr>
        <w:t>The History of Sexuality: Volume 1. An Introduction</w:t>
      </w:r>
      <w:r w:rsidRPr="00314F90">
        <w:rPr>
          <w:lang w:val="en-US"/>
        </w:rPr>
        <w:t xml:space="preserve"> (</w:t>
      </w:r>
      <w:r w:rsidR="00495801">
        <w:rPr>
          <w:lang w:val="en-US"/>
        </w:rPr>
        <w:t xml:space="preserve">New York: </w:t>
      </w:r>
      <w:r w:rsidRPr="00314F90">
        <w:rPr>
          <w:lang w:val="en-US"/>
        </w:rPr>
        <w:t>Vintage Books, 1990), pp. 88–89.</w:t>
      </w:r>
    </w:p>
  </w:footnote>
  <w:footnote w:id="7">
    <w:p w14:paraId="4E1022C9" w14:textId="66601F62" w:rsidR="00314F90" w:rsidRPr="00314F90" w:rsidRDefault="00314F90">
      <w:pPr>
        <w:pStyle w:val="FootnoteText"/>
        <w:rPr>
          <w:lang w:val="en-US"/>
        </w:rPr>
      </w:pPr>
      <w:r>
        <w:rPr>
          <w:rStyle w:val="FootnoteReference"/>
        </w:rPr>
        <w:footnoteRef/>
      </w:r>
      <w:r w:rsidRPr="00314F90">
        <w:rPr>
          <w:lang w:val="en-US"/>
        </w:rPr>
        <w:t xml:space="preserve"> Michael Walzer, 'The Politics of Michel Foucault', </w:t>
      </w:r>
      <w:r w:rsidRPr="00314F90">
        <w:rPr>
          <w:i/>
          <w:iCs/>
          <w:lang w:val="en-US"/>
        </w:rPr>
        <w:t>Dissent</w:t>
      </w:r>
      <w:r w:rsidRPr="00314F90">
        <w:rPr>
          <w:lang w:val="en-US"/>
        </w:rPr>
        <w:t xml:space="preserve">, 30.4 (1983), 481–490; Charles Taylor, 'Foucault on Freedom and Truth', </w:t>
      </w:r>
      <w:r w:rsidRPr="00314F90">
        <w:rPr>
          <w:i/>
          <w:iCs/>
          <w:lang w:val="en-US"/>
        </w:rPr>
        <w:t>Political Theory</w:t>
      </w:r>
      <w:r w:rsidRPr="00314F90">
        <w:rPr>
          <w:lang w:val="en-US"/>
        </w:rPr>
        <w:t>, 12.2 (1984), 152–183,</w:t>
      </w:r>
      <w:r w:rsidR="00325F5C">
        <w:rPr>
          <w:lang w:val="en-US"/>
        </w:rPr>
        <w:t xml:space="preserve"> </w:t>
      </w:r>
      <w:proofErr w:type="spellStart"/>
      <w:r w:rsidR="00325F5C">
        <w:rPr>
          <w:lang w:val="en-US"/>
        </w:rPr>
        <w:t>doi</w:t>
      </w:r>
      <w:proofErr w:type="spellEnd"/>
      <w:r w:rsidR="007034DC">
        <w:rPr>
          <w:lang w:val="en-US"/>
        </w:rPr>
        <w:t>:</w:t>
      </w:r>
      <w:r w:rsidRPr="00314F90">
        <w:rPr>
          <w:lang w:val="en-US"/>
        </w:rPr>
        <w:t xml:space="preserve"> 10.1177/0090591784012002002; Jürgen Habermas, </w:t>
      </w:r>
      <w:r w:rsidRPr="00314F90">
        <w:rPr>
          <w:i/>
          <w:iCs/>
          <w:lang w:val="en-US"/>
        </w:rPr>
        <w:t>The Philosophical Discourse of Modernity: Twelve Lectures</w:t>
      </w:r>
      <w:r w:rsidRPr="00314F90">
        <w:rPr>
          <w:lang w:val="en-US"/>
        </w:rPr>
        <w:t xml:space="preserve"> (</w:t>
      </w:r>
      <w:r w:rsidR="00495801" w:rsidRPr="00495801">
        <w:rPr>
          <w:lang w:val="en-US"/>
        </w:rPr>
        <w:t>Cambridge, MA</w:t>
      </w:r>
      <w:r w:rsidR="00495801">
        <w:rPr>
          <w:lang w:val="en-US"/>
        </w:rPr>
        <w:t xml:space="preserve">: </w:t>
      </w:r>
      <w:r w:rsidRPr="00314F90">
        <w:rPr>
          <w:lang w:val="en-US"/>
        </w:rPr>
        <w:t>MIT Press, 1987)</w:t>
      </w:r>
      <w:r w:rsidR="009525AC">
        <w:rPr>
          <w:lang w:val="en-US"/>
        </w:rPr>
        <w:t xml:space="preserve">; </w:t>
      </w:r>
      <w:r w:rsidR="009525AC" w:rsidRPr="009525AC">
        <w:rPr>
          <w:lang w:val="en-US"/>
        </w:rPr>
        <w:t xml:space="preserve">Nancy Fraser, 'Foucault on Modern Power: Empirical Insights and Normative Confusions', in </w:t>
      </w:r>
      <w:r w:rsidR="009525AC" w:rsidRPr="009525AC">
        <w:rPr>
          <w:i/>
          <w:iCs/>
          <w:lang w:val="en-US"/>
        </w:rPr>
        <w:t>Unruly Practices: Power, Discourse and Gender in Contemporary Social Theory</w:t>
      </w:r>
      <w:r w:rsidR="009525AC" w:rsidRPr="009525AC">
        <w:rPr>
          <w:lang w:val="en-US"/>
        </w:rPr>
        <w:t xml:space="preserve"> (Polity Press, 1989), pp. 17–34.</w:t>
      </w:r>
    </w:p>
  </w:footnote>
  <w:footnote w:id="8">
    <w:p w14:paraId="4208965A" w14:textId="5C0518D8" w:rsidR="009A6385" w:rsidRPr="00F15FAC" w:rsidRDefault="009A6385">
      <w:pPr>
        <w:pStyle w:val="FootnoteText"/>
        <w:rPr>
          <w:lang w:val="en-US"/>
        </w:rPr>
      </w:pPr>
      <w:r>
        <w:rPr>
          <w:rStyle w:val="FootnoteReference"/>
        </w:rPr>
        <w:footnoteRef/>
      </w:r>
      <w:r w:rsidRPr="00F15FAC">
        <w:rPr>
          <w:lang w:val="en-US"/>
        </w:rPr>
        <w:t xml:space="preserve"> </w:t>
      </w:r>
      <w:r w:rsidRPr="009A6385">
        <w:rPr>
          <w:lang w:val="en-US"/>
        </w:rPr>
        <w:t xml:space="preserve">John Locke, </w:t>
      </w:r>
      <w:r w:rsidRPr="00F15FAC">
        <w:rPr>
          <w:i/>
          <w:iCs/>
          <w:lang w:val="en-US"/>
        </w:rPr>
        <w:t>Two Treatises of Government</w:t>
      </w:r>
      <w:r w:rsidRPr="009A6385">
        <w:rPr>
          <w:lang w:val="en-US"/>
        </w:rPr>
        <w:t xml:space="preserve">; Thomas Hobbes, </w:t>
      </w:r>
      <w:r w:rsidRPr="00F15FAC">
        <w:rPr>
          <w:i/>
          <w:iCs/>
          <w:lang w:val="en-US"/>
        </w:rPr>
        <w:t>Leviathan</w:t>
      </w:r>
      <w:r w:rsidRPr="009A6385">
        <w:rPr>
          <w:lang w:val="en-US"/>
        </w:rPr>
        <w:t>.</w:t>
      </w:r>
    </w:p>
  </w:footnote>
  <w:footnote w:id="9">
    <w:p w14:paraId="0B4DD199" w14:textId="4702AE50" w:rsidR="00314F90" w:rsidRPr="00314F90" w:rsidRDefault="00314F90">
      <w:pPr>
        <w:pStyle w:val="FootnoteText"/>
        <w:rPr>
          <w:lang w:val="en-US"/>
        </w:rPr>
      </w:pPr>
      <w:r>
        <w:rPr>
          <w:rStyle w:val="FootnoteReference"/>
        </w:rPr>
        <w:footnoteRef/>
      </w:r>
      <w:r w:rsidRPr="00314F90">
        <w:rPr>
          <w:lang w:val="en-US"/>
        </w:rPr>
        <w:t xml:space="preserve"> Paul Patton, 'Foucault and Normative Political Philosophy', in </w:t>
      </w:r>
      <w:r w:rsidRPr="00314F90">
        <w:rPr>
          <w:i/>
          <w:iCs/>
          <w:lang w:val="en-US"/>
        </w:rPr>
        <w:t>Foucault and Philosophy</w:t>
      </w:r>
      <w:r w:rsidRPr="00314F90">
        <w:rPr>
          <w:lang w:val="en-US"/>
        </w:rPr>
        <w:t>, ed. by Timothy O’Leary and Christopher Falzon (Wiley-Blackwell, 2010), pp. 204–221</w:t>
      </w:r>
      <w:r>
        <w:rPr>
          <w:lang w:val="en-US"/>
        </w:rPr>
        <w:t>.</w:t>
      </w:r>
    </w:p>
  </w:footnote>
  <w:footnote w:id="10">
    <w:p w14:paraId="041FFF4C" w14:textId="0FA96936" w:rsidR="00314F90" w:rsidRPr="00314F90" w:rsidRDefault="00314F90">
      <w:pPr>
        <w:pStyle w:val="FootnoteText"/>
        <w:rPr>
          <w:lang w:val="en-US"/>
        </w:rPr>
      </w:pPr>
      <w:r>
        <w:rPr>
          <w:rStyle w:val="FootnoteReference"/>
        </w:rPr>
        <w:footnoteRef/>
      </w:r>
      <w:r w:rsidRPr="00314F90">
        <w:rPr>
          <w:lang w:val="en-US"/>
        </w:rPr>
        <w:t xml:space="preserve"> Johanna Oksala, </w:t>
      </w:r>
      <w:r w:rsidRPr="00314F90">
        <w:rPr>
          <w:i/>
          <w:iCs/>
          <w:lang w:val="en-US"/>
        </w:rPr>
        <w:t>Foucault on Freedom</w:t>
      </w:r>
      <w:r w:rsidRPr="00314F90">
        <w:rPr>
          <w:lang w:val="en-US"/>
        </w:rPr>
        <w:t xml:space="preserve"> (</w:t>
      </w:r>
      <w:r w:rsidR="00910964" w:rsidRPr="00910964">
        <w:rPr>
          <w:lang w:val="en-US"/>
        </w:rPr>
        <w:t>Cambridge:</w:t>
      </w:r>
      <w:r w:rsidR="00910964">
        <w:rPr>
          <w:lang w:val="en-US"/>
        </w:rPr>
        <w:t xml:space="preserve"> </w:t>
      </w:r>
      <w:r w:rsidRPr="00314F90">
        <w:rPr>
          <w:lang w:val="en-US"/>
        </w:rPr>
        <w:t xml:space="preserve">Cambridge University Press, 2005); Thomas Lemke, </w:t>
      </w:r>
      <w:r w:rsidRPr="00314F90">
        <w:rPr>
          <w:i/>
          <w:iCs/>
          <w:lang w:val="en-US"/>
        </w:rPr>
        <w:t>Foucault, Governmentality, and Critique</w:t>
      </w:r>
      <w:r w:rsidRPr="00314F90">
        <w:rPr>
          <w:lang w:val="en-US"/>
        </w:rPr>
        <w:t xml:space="preserve"> (</w:t>
      </w:r>
      <w:r w:rsidR="00910964" w:rsidRPr="00910964">
        <w:rPr>
          <w:lang w:val="en-US"/>
        </w:rPr>
        <w:t>Boulder:</w:t>
      </w:r>
      <w:r w:rsidR="00910964">
        <w:rPr>
          <w:lang w:val="en-US"/>
        </w:rPr>
        <w:t xml:space="preserve"> </w:t>
      </w:r>
      <w:r w:rsidRPr="00314F90">
        <w:rPr>
          <w:lang w:val="en-US"/>
        </w:rPr>
        <w:t xml:space="preserve">Paradigm Publishers, 2011); Tuomo </w:t>
      </w:r>
      <w:proofErr w:type="spellStart"/>
      <w:r w:rsidRPr="00314F90">
        <w:rPr>
          <w:lang w:val="en-US"/>
        </w:rPr>
        <w:t>Tiisala</w:t>
      </w:r>
      <w:proofErr w:type="spellEnd"/>
      <w:r w:rsidRPr="00314F90">
        <w:rPr>
          <w:lang w:val="en-US"/>
        </w:rPr>
        <w:t xml:space="preserve">, </w:t>
      </w:r>
      <w:r w:rsidRPr="00314F90">
        <w:rPr>
          <w:i/>
          <w:iCs/>
          <w:lang w:val="en-US"/>
        </w:rPr>
        <w:t>Power and Freedom in the Space of Reasons: Elaborating Foucault’s Pragmatism</w:t>
      </w:r>
      <w:r w:rsidRPr="00314F90">
        <w:rPr>
          <w:lang w:val="en-US"/>
        </w:rPr>
        <w:t xml:space="preserve"> (</w:t>
      </w:r>
      <w:r w:rsidR="00C20184">
        <w:rPr>
          <w:lang w:val="en-US"/>
        </w:rPr>
        <w:t xml:space="preserve">London: </w:t>
      </w:r>
      <w:r w:rsidRPr="00314F90">
        <w:rPr>
          <w:lang w:val="en-US"/>
        </w:rPr>
        <w:t>Routledge, 2024).</w:t>
      </w:r>
    </w:p>
  </w:footnote>
  <w:footnote w:id="11">
    <w:p w14:paraId="4A6DD75F" w14:textId="203B5D92" w:rsidR="00314F90" w:rsidRPr="00314F90" w:rsidRDefault="00314F90">
      <w:pPr>
        <w:pStyle w:val="FootnoteText"/>
        <w:rPr>
          <w:lang w:val="en-US"/>
        </w:rPr>
      </w:pPr>
      <w:r>
        <w:rPr>
          <w:rStyle w:val="FootnoteReference"/>
        </w:rPr>
        <w:footnoteRef/>
      </w:r>
      <w:r w:rsidRPr="00314F90">
        <w:rPr>
          <w:lang w:val="en-US"/>
        </w:rPr>
        <w:t xml:space="preserve"> </w:t>
      </w:r>
      <w:proofErr w:type="spellStart"/>
      <w:r w:rsidRPr="00314F90">
        <w:rPr>
          <w:lang w:val="en-US"/>
        </w:rPr>
        <w:t>Tiisala</w:t>
      </w:r>
      <w:proofErr w:type="spellEnd"/>
      <w:r w:rsidRPr="00314F90">
        <w:rPr>
          <w:lang w:val="en-US"/>
        </w:rPr>
        <w:t xml:space="preserve">, </w:t>
      </w:r>
      <w:r w:rsidRPr="00314F90">
        <w:rPr>
          <w:i/>
          <w:iCs/>
          <w:lang w:val="en-US"/>
        </w:rPr>
        <w:t>Power and Freedom in the Space of Reasons</w:t>
      </w:r>
      <w:r w:rsidRPr="00314F90">
        <w:rPr>
          <w:lang w:val="en-US"/>
        </w:rPr>
        <w:t>.</w:t>
      </w:r>
    </w:p>
  </w:footnote>
  <w:footnote w:id="12">
    <w:p w14:paraId="0D447480" w14:textId="71687E8D" w:rsidR="00314F90" w:rsidRPr="00314F90" w:rsidRDefault="00314F90">
      <w:pPr>
        <w:pStyle w:val="FootnoteText"/>
        <w:rPr>
          <w:lang w:val="en-US"/>
        </w:rPr>
      </w:pPr>
      <w:r>
        <w:rPr>
          <w:rStyle w:val="FootnoteReference"/>
        </w:rPr>
        <w:footnoteRef/>
      </w:r>
      <w:r w:rsidRPr="00314F90">
        <w:rPr>
          <w:lang w:val="en-US"/>
        </w:rPr>
        <w:t xml:space="preserve"> Foucault, </w:t>
      </w:r>
      <w:r w:rsidRPr="00314F90">
        <w:rPr>
          <w:i/>
          <w:iCs/>
          <w:lang w:val="en-US"/>
        </w:rPr>
        <w:t>The Birth of Biopolitics</w:t>
      </w:r>
      <w:r w:rsidRPr="00314F90">
        <w:rPr>
          <w:lang w:val="en-US"/>
        </w:rPr>
        <w:t>, p. 77</w:t>
      </w:r>
      <w:r>
        <w:rPr>
          <w:lang w:val="en-US"/>
        </w:rPr>
        <w:t>.</w:t>
      </w:r>
    </w:p>
  </w:footnote>
  <w:footnote w:id="13">
    <w:p w14:paraId="2106BEEF" w14:textId="632AE8AB" w:rsidR="00314F90" w:rsidRPr="00314F90" w:rsidRDefault="00314F90">
      <w:pPr>
        <w:pStyle w:val="FootnoteText"/>
        <w:rPr>
          <w:lang w:val="en-US"/>
        </w:rPr>
      </w:pPr>
      <w:r>
        <w:rPr>
          <w:rStyle w:val="FootnoteReference"/>
        </w:rPr>
        <w:footnoteRef/>
      </w:r>
      <w:r w:rsidRPr="00314F90">
        <w:rPr>
          <w:lang w:val="en-US"/>
        </w:rPr>
        <w:t xml:space="preserve"> Michel Foucault, </w:t>
      </w:r>
      <w:r w:rsidRPr="00314F90">
        <w:rPr>
          <w:i/>
          <w:iCs/>
          <w:lang w:val="en-US"/>
        </w:rPr>
        <w:t>“Society Must Be Defended”: Lectures at the Collège de France, 1975–1976</w:t>
      </w:r>
      <w:r w:rsidRPr="00314F90">
        <w:rPr>
          <w:lang w:val="en-US"/>
        </w:rPr>
        <w:t>, ed. by Mauro Bertani and Alessandro Fontana (</w:t>
      </w:r>
      <w:r w:rsidR="00C20184">
        <w:rPr>
          <w:lang w:val="en-US"/>
        </w:rPr>
        <w:t xml:space="preserve">New York: </w:t>
      </w:r>
      <w:r w:rsidRPr="00314F90">
        <w:rPr>
          <w:lang w:val="en-US"/>
        </w:rPr>
        <w:t>Picador, 2003), p. 241.</w:t>
      </w:r>
    </w:p>
  </w:footnote>
  <w:footnote w:id="14">
    <w:p w14:paraId="59DB52E0" w14:textId="46FC02BE" w:rsidR="000418F2" w:rsidRPr="000418F2" w:rsidRDefault="000418F2">
      <w:pPr>
        <w:pStyle w:val="FootnoteText"/>
        <w:rPr>
          <w:lang w:val="en-US"/>
        </w:rPr>
      </w:pPr>
      <w:r>
        <w:rPr>
          <w:rStyle w:val="FootnoteReference"/>
        </w:rPr>
        <w:footnoteRef/>
      </w:r>
      <w:r w:rsidRPr="000418F2">
        <w:rPr>
          <w:lang w:val="en-US"/>
        </w:rPr>
        <w:t xml:space="preserve"> Mitchell Dean, </w:t>
      </w:r>
      <w:r w:rsidRPr="000418F2">
        <w:rPr>
          <w:i/>
          <w:iCs/>
          <w:lang w:val="en-US"/>
        </w:rPr>
        <w:t>Governmentality: Power and Rule in Modern Society</w:t>
      </w:r>
      <w:r w:rsidRPr="000418F2">
        <w:rPr>
          <w:lang w:val="en-US"/>
        </w:rPr>
        <w:t xml:space="preserve"> (2nd ed., SAGE, 2010); Michel Foucault, 'Governmentality', in </w:t>
      </w:r>
      <w:r w:rsidRPr="000418F2">
        <w:rPr>
          <w:i/>
          <w:iCs/>
          <w:lang w:val="en-US"/>
        </w:rPr>
        <w:t>The Foucault Effect: Studies in Governmentality</w:t>
      </w:r>
      <w:r w:rsidRPr="000418F2">
        <w:rPr>
          <w:lang w:val="en-US"/>
        </w:rPr>
        <w:t>, ed. by Graham Burchell, Colin Gordon, and Peter Miller (University of Chicago Press, 1991), pp. 87–104.</w:t>
      </w:r>
    </w:p>
  </w:footnote>
  <w:footnote w:id="15">
    <w:p w14:paraId="3ED7DBC4" w14:textId="5F072B40" w:rsidR="000418F2" w:rsidRPr="000418F2" w:rsidRDefault="000418F2">
      <w:pPr>
        <w:pStyle w:val="FootnoteText"/>
        <w:rPr>
          <w:lang w:val="en-US"/>
        </w:rPr>
      </w:pPr>
      <w:r>
        <w:rPr>
          <w:rStyle w:val="FootnoteReference"/>
        </w:rPr>
        <w:footnoteRef/>
      </w:r>
      <w:r w:rsidRPr="000418F2">
        <w:rPr>
          <w:lang w:val="en-US"/>
        </w:rPr>
        <w:t xml:space="preserve"> Michel Foucault, </w:t>
      </w:r>
      <w:r w:rsidRPr="000418F2">
        <w:rPr>
          <w:i/>
          <w:iCs/>
          <w:lang w:val="en-US"/>
        </w:rPr>
        <w:t>Security, Territory, Population: Lectures at the Collège de France, 1977–1978</w:t>
      </w:r>
      <w:r w:rsidRPr="000418F2">
        <w:rPr>
          <w:lang w:val="en-US"/>
        </w:rPr>
        <w:t>, ed. by Michel Senellart (</w:t>
      </w:r>
      <w:r w:rsidR="00042F4A">
        <w:rPr>
          <w:lang w:val="en-US"/>
        </w:rPr>
        <w:t xml:space="preserve">Basingstoke: </w:t>
      </w:r>
      <w:r w:rsidRPr="000418F2">
        <w:rPr>
          <w:lang w:val="en-US"/>
        </w:rPr>
        <w:t>Palgrave Macmillan, 2007).</w:t>
      </w:r>
    </w:p>
  </w:footnote>
  <w:footnote w:id="16">
    <w:p w14:paraId="0A9468CC" w14:textId="3239BCE8" w:rsidR="000418F2" w:rsidRPr="000418F2" w:rsidRDefault="000418F2">
      <w:pPr>
        <w:pStyle w:val="FootnoteText"/>
        <w:rPr>
          <w:lang w:val="en-US"/>
        </w:rPr>
      </w:pPr>
      <w:r>
        <w:rPr>
          <w:rStyle w:val="FootnoteReference"/>
        </w:rPr>
        <w:footnoteRef/>
      </w:r>
      <w:r w:rsidRPr="000418F2">
        <w:rPr>
          <w:lang w:val="en-US"/>
        </w:rPr>
        <w:t xml:space="preserve"> Foucault, </w:t>
      </w:r>
      <w:r w:rsidRPr="000418F2">
        <w:rPr>
          <w:i/>
          <w:iCs/>
          <w:lang w:val="en-US"/>
        </w:rPr>
        <w:t>The History of Sexuality: Volume 1</w:t>
      </w:r>
      <w:r w:rsidRPr="000418F2">
        <w:rPr>
          <w:lang w:val="en-US"/>
        </w:rPr>
        <w:t>, p. 89.</w:t>
      </w:r>
    </w:p>
  </w:footnote>
  <w:footnote w:id="17">
    <w:p w14:paraId="0650EFFB" w14:textId="176B21DA" w:rsidR="000418F2" w:rsidRPr="000418F2" w:rsidRDefault="000418F2">
      <w:pPr>
        <w:pStyle w:val="FootnoteText"/>
        <w:rPr>
          <w:lang w:val="en-US"/>
        </w:rPr>
      </w:pPr>
      <w:r>
        <w:rPr>
          <w:rStyle w:val="FootnoteReference"/>
        </w:rPr>
        <w:footnoteRef/>
      </w:r>
      <w:r w:rsidRPr="000418F2">
        <w:rPr>
          <w:lang w:val="en-US"/>
        </w:rPr>
        <w:t xml:space="preserve"> Foucault, </w:t>
      </w:r>
      <w:r w:rsidRPr="000418F2">
        <w:rPr>
          <w:i/>
          <w:iCs/>
          <w:lang w:val="en-US"/>
        </w:rPr>
        <w:t>The History of Sexuality: Volume 1</w:t>
      </w:r>
      <w:r w:rsidRPr="000418F2">
        <w:rPr>
          <w:lang w:val="en-US"/>
        </w:rPr>
        <w:t xml:space="preserve">, p. </w:t>
      </w:r>
      <w:r>
        <w:rPr>
          <w:lang w:val="en-US"/>
        </w:rPr>
        <w:t>93</w:t>
      </w:r>
      <w:r w:rsidRPr="000418F2">
        <w:rPr>
          <w:lang w:val="en-US"/>
        </w:rPr>
        <w:t>.</w:t>
      </w:r>
    </w:p>
  </w:footnote>
  <w:footnote w:id="18">
    <w:p w14:paraId="685B2E0A" w14:textId="3F3CA1E5" w:rsidR="000418F2" w:rsidRPr="000418F2" w:rsidRDefault="000418F2">
      <w:pPr>
        <w:pStyle w:val="FootnoteText"/>
        <w:rPr>
          <w:lang w:val="en-US"/>
        </w:rPr>
      </w:pPr>
      <w:r>
        <w:rPr>
          <w:rStyle w:val="FootnoteReference"/>
        </w:rPr>
        <w:footnoteRef/>
      </w:r>
      <w:r w:rsidRPr="000418F2">
        <w:rPr>
          <w:lang w:val="en-US"/>
        </w:rPr>
        <w:t xml:space="preserve"> Michel Foucault, </w:t>
      </w:r>
      <w:r w:rsidRPr="000418F2">
        <w:rPr>
          <w:i/>
          <w:iCs/>
          <w:lang w:val="en-US"/>
        </w:rPr>
        <w:t>The Archaeology of Knowledge</w:t>
      </w:r>
      <w:r w:rsidRPr="000418F2">
        <w:rPr>
          <w:lang w:val="en-US"/>
        </w:rPr>
        <w:t xml:space="preserve"> (</w:t>
      </w:r>
      <w:r w:rsidR="00AA1E62">
        <w:rPr>
          <w:lang w:val="en-US"/>
        </w:rPr>
        <w:t xml:space="preserve">New York: </w:t>
      </w:r>
      <w:r w:rsidRPr="000418F2">
        <w:rPr>
          <w:lang w:val="en-US"/>
        </w:rPr>
        <w:t xml:space="preserve">Pantheon Books, 1972); Michel Foucault, </w:t>
      </w:r>
      <w:r w:rsidRPr="000418F2">
        <w:rPr>
          <w:i/>
          <w:iCs/>
          <w:lang w:val="en-US"/>
        </w:rPr>
        <w:t>Madness and Civilization: A History of Insanity in the Age of Reason</w:t>
      </w:r>
      <w:r w:rsidRPr="000418F2">
        <w:rPr>
          <w:lang w:val="en-US"/>
        </w:rPr>
        <w:t xml:space="preserve"> (</w:t>
      </w:r>
      <w:r w:rsidR="00AA1E62">
        <w:rPr>
          <w:lang w:val="en-US"/>
        </w:rPr>
        <w:t xml:space="preserve">New York: </w:t>
      </w:r>
      <w:r w:rsidRPr="000418F2">
        <w:rPr>
          <w:lang w:val="en-US"/>
        </w:rPr>
        <w:t>Vintage Books, 1988).</w:t>
      </w:r>
    </w:p>
  </w:footnote>
  <w:footnote w:id="19">
    <w:p w14:paraId="6B53011E" w14:textId="1B235EC8" w:rsidR="000418F2" w:rsidRPr="000418F2" w:rsidRDefault="000418F2">
      <w:pPr>
        <w:pStyle w:val="FootnoteText"/>
        <w:rPr>
          <w:lang w:val="en-US"/>
        </w:rPr>
      </w:pPr>
      <w:r>
        <w:rPr>
          <w:rStyle w:val="FootnoteReference"/>
        </w:rPr>
        <w:footnoteRef/>
      </w:r>
      <w:r w:rsidRPr="000418F2">
        <w:rPr>
          <w:lang w:val="en-US"/>
        </w:rPr>
        <w:t xml:space="preserve"> Michel Foucault, 'Nietzsche, Genealogy, History', in </w:t>
      </w:r>
      <w:r w:rsidRPr="000418F2">
        <w:rPr>
          <w:i/>
          <w:iCs/>
          <w:lang w:val="en-US"/>
        </w:rPr>
        <w:t>Language, Counter-Memory, Practice: Selected Essays and Interviews</w:t>
      </w:r>
      <w:r w:rsidRPr="000418F2">
        <w:rPr>
          <w:lang w:val="en-US"/>
        </w:rPr>
        <w:t xml:space="preserve">, ed. by Donald F. Bouchard (Cornell University Press, 1977), pp. 139–164. See also Foucault, </w:t>
      </w:r>
      <w:r w:rsidRPr="000418F2">
        <w:rPr>
          <w:i/>
          <w:iCs/>
          <w:lang w:val="en-US"/>
        </w:rPr>
        <w:t>The History of Sexuality: Volume 1</w:t>
      </w:r>
      <w:r w:rsidRPr="000418F2">
        <w:rPr>
          <w:lang w:val="en-US"/>
        </w:rPr>
        <w:t xml:space="preserve">; Michel Foucault, </w:t>
      </w:r>
      <w:r w:rsidRPr="000418F2">
        <w:rPr>
          <w:i/>
          <w:iCs/>
          <w:lang w:val="en-US"/>
        </w:rPr>
        <w:t xml:space="preserve">Discipline and Punish: The Birth of the Prison </w:t>
      </w:r>
      <w:r w:rsidRPr="000418F2">
        <w:rPr>
          <w:lang w:val="en-US"/>
        </w:rPr>
        <w:t>(</w:t>
      </w:r>
      <w:r w:rsidR="00AA1E62">
        <w:rPr>
          <w:lang w:val="en-US"/>
        </w:rPr>
        <w:t xml:space="preserve">New York: </w:t>
      </w:r>
      <w:r w:rsidRPr="000418F2">
        <w:rPr>
          <w:lang w:val="en-US"/>
        </w:rPr>
        <w:t>Vintage Books, 1995).</w:t>
      </w:r>
    </w:p>
  </w:footnote>
  <w:footnote w:id="20">
    <w:p w14:paraId="7412D7DE" w14:textId="0E478FC4" w:rsidR="000418F2" w:rsidRPr="000418F2" w:rsidRDefault="000418F2">
      <w:pPr>
        <w:pStyle w:val="FootnoteText"/>
        <w:rPr>
          <w:lang w:val="en-US"/>
        </w:rPr>
      </w:pPr>
      <w:r>
        <w:rPr>
          <w:rStyle w:val="FootnoteReference"/>
        </w:rPr>
        <w:footnoteRef/>
      </w:r>
      <w:r w:rsidRPr="000418F2">
        <w:rPr>
          <w:lang w:val="en-US"/>
        </w:rPr>
        <w:t xml:space="preserve"> Hubert L. Dreyfus and Paul Rabinow, </w:t>
      </w:r>
      <w:r w:rsidRPr="000418F2">
        <w:rPr>
          <w:i/>
          <w:iCs/>
          <w:lang w:val="en-US"/>
        </w:rPr>
        <w:t>Michel Foucault: Beyond Structuralism and Hermeneutics</w:t>
      </w:r>
      <w:r w:rsidRPr="000418F2">
        <w:rPr>
          <w:lang w:val="en-US"/>
        </w:rPr>
        <w:t xml:space="preserve"> (2nd ed., </w:t>
      </w:r>
      <w:r w:rsidR="00F96A46">
        <w:rPr>
          <w:lang w:val="en-US"/>
        </w:rPr>
        <w:t xml:space="preserve">Chicago: </w:t>
      </w:r>
      <w:r w:rsidRPr="000418F2">
        <w:rPr>
          <w:lang w:val="en-US"/>
        </w:rPr>
        <w:t xml:space="preserve">University of Chicago Press, 1983); Mark G. E. Kelly, </w:t>
      </w:r>
      <w:r w:rsidRPr="000418F2">
        <w:rPr>
          <w:i/>
          <w:iCs/>
          <w:lang w:val="en-US"/>
        </w:rPr>
        <w:t>The Political Philosophy of Michel Foucault</w:t>
      </w:r>
      <w:r w:rsidRPr="000418F2">
        <w:rPr>
          <w:lang w:val="en-US"/>
        </w:rPr>
        <w:t xml:space="preserve"> (</w:t>
      </w:r>
      <w:r w:rsidR="00F96A46">
        <w:rPr>
          <w:lang w:val="en-US"/>
        </w:rPr>
        <w:t xml:space="preserve">London: </w:t>
      </w:r>
      <w:r w:rsidRPr="000418F2">
        <w:rPr>
          <w:lang w:val="en-US"/>
        </w:rPr>
        <w:t xml:space="preserve">Routledge, 2009); </w:t>
      </w:r>
      <w:proofErr w:type="spellStart"/>
      <w:r w:rsidRPr="000418F2">
        <w:rPr>
          <w:lang w:val="en-US"/>
        </w:rPr>
        <w:t>Tiisala</w:t>
      </w:r>
      <w:proofErr w:type="spellEnd"/>
      <w:r w:rsidRPr="000418F2">
        <w:rPr>
          <w:lang w:val="en-US"/>
        </w:rPr>
        <w:t xml:space="preserve">, </w:t>
      </w:r>
      <w:r w:rsidRPr="000418F2">
        <w:rPr>
          <w:i/>
          <w:iCs/>
          <w:lang w:val="en-US"/>
        </w:rPr>
        <w:t>Power and Freedom in the Space of Reasons</w:t>
      </w:r>
      <w:r w:rsidRPr="000418F2">
        <w:rPr>
          <w:lang w:val="en-US"/>
        </w:rPr>
        <w:t>.</w:t>
      </w:r>
    </w:p>
  </w:footnote>
  <w:footnote w:id="21">
    <w:p w14:paraId="3C890AE9" w14:textId="3E478DE4" w:rsidR="000418F2" w:rsidRPr="000418F2" w:rsidRDefault="000418F2">
      <w:pPr>
        <w:pStyle w:val="FootnoteText"/>
        <w:rPr>
          <w:lang w:val="en-US"/>
        </w:rPr>
      </w:pPr>
      <w:r>
        <w:rPr>
          <w:rStyle w:val="FootnoteReference"/>
        </w:rPr>
        <w:footnoteRef/>
      </w:r>
      <w:r w:rsidRPr="000418F2">
        <w:rPr>
          <w:lang w:val="en-US"/>
        </w:rPr>
        <w:t xml:space="preserve"> Foucault, </w:t>
      </w:r>
      <w:r w:rsidRPr="000418F2">
        <w:rPr>
          <w:i/>
          <w:iCs/>
          <w:lang w:val="en-US"/>
        </w:rPr>
        <w:t>Language, Counter-Memory, Practice</w:t>
      </w:r>
      <w:r w:rsidRPr="000418F2">
        <w:rPr>
          <w:lang w:val="en-US"/>
        </w:rPr>
        <w:t>, p. 139.</w:t>
      </w:r>
    </w:p>
  </w:footnote>
  <w:footnote w:id="22">
    <w:p w14:paraId="70F60BD1" w14:textId="745BB949" w:rsidR="000418F2" w:rsidRPr="000418F2" w:rsidRDefault="000418F2">
      <w:pPr>
        <w:pStyle w:val="FootnoteText"/>
        <w:rPr>
          <w:lang w:val="en-US"/>
        </w:rPr>
      </w:pPr>
      <w:r>
        <w:rPr>
          <w:rStyle w:val="FootnoteReference"/>
        </w:rPr>
        <w:footnoteRef/>
      </w:r>
      <w:r w:rsidRPr="000418F2">
        <w:rPr>
          <w:lang w:val="en-US"/>
        </w:rPr>
        <w:t xml:space="preserve"> </w:t>
      </w:r>
      <w:proofErr w:type="spellStart"/>
      <w:r w:rsidRPr="000418F2">
        <w:rPr>
          <w:lang w:val="en-US"/>
        </w:rPr>
        <w:t>Tiisala</w:t>
      </w:r>
      <w:proofErr w:type="spellEnd"/>
      <w:r w:rsidRPr="000418F2">
        <w:rPr>
          <w:lang w:val="en-US"/>
        </w:rPr>
        <w:t xml:space="preserve">, </w:t>
      </w:r>
      <w:r w:rsidRPr="000418F2">
        <w:rPr>
          <w:i/>
          <w:iCs/>
          <w:lang w:val="en-US"/>
        </w:rPr>
        <w:t>Power and Freedom in the Space of Reasons</w:t>
      </w:r>
      <w:r w:rsidRPr="000418F2">
        <w:rPr>
          <w:lang w:val="en-US"/>
        </w:rPr>
        <w:t>.</w:t>
      </w:r>
    </w:p>
  </w:footnote>
  <w:footnote w:id="23">
    <w:p w14:paraId="02DCC215" w14:textId="7FFEF808" w:rsidR="000418F2" w:rsidRPr="000418F2" w:rsidRDefault="000418F2">
      <w:pPr>
        <w:pStyle w:val="FootnoteText"/>
        <w:rPr>
          <w:lang w:val="en-US"/>
        </w:rPr>
      </w:pPr>
      <w:r>
        <w:rPr>
          <w:rStyle w:val="FootnoteReference"/>
        </w:rPr>
        <w:footnoteRef/>
      </w:r>
      <w:r w:rsidRPr="000418F2">
        <w:rPr>
          <w:lang w:val="en-US"/>
        </w:rPr>
        <w:t xml:space="preserve"> Michel Foucault, </w:t>
      </w:r>
      <w:r w:rsidRPr="000418F2">
        <w:rPr>
          <w:i/>
          <w:iCs/>
          <w:lang w:val="en-US"/>
        </w:rPr>
        <w:t>Power/Knowledge: Selected Interviews and Other Writings, 1972–1977</w:t>
      </w:r>
      <w:r w:rsidRPr="000418F2">
        <w:rPr>
          <w:lang w:val="en-US"/>
        </w:rPr>
        <w:t>, ed. by Colin Gordon (</w:t>
      </w:r>
      <w:r w:rsidR="00F96A46">
        <w:rPr>
          <w:lang w:val="en-US"/>
        </w:rPr>
        <w:t xml:space="preserve">New York: </w:t>
      </w:r>
      <w:r w:rsidRPr="000418F2">
        <w:rPr>
          <w:lang w:val="en-US"/>
        </w:rPr>
        <w:t>Pantheon Books, 1980), p. 142.</w:t>
      </w:r>
    </w:p>
  </w:footnote>
  <w:footnote w:id="24">
    <w:p w14:paraId="29EB9CFA" w14:textId="4C47EDCF" w:rsidR="000418F2" w:rsidRPr="000418F2" w:rsidRDefault="000418F2">
      <w:pPr>
        <w:pStyle w:val="FootnoteText"/>
        <w:rPr>
          <w:lang w:val="en-US"/>
        </w:rPr>
      </w:pPr>
      <w:r>
        <w:rPr>
          <w:rStyle w:val="FootnoteReference"/>
        </w:rPr>
        <w:footnoteRef/>
      </w:r>
      <w:r w:rsidRPr="000418F2">
        <w:rPr>
          <w:lang w:val="en-US"/>
        </w:rPr>
        <w:t xml:space="preserve"> Foucault, </w:t>
      </w:r>
      <w:r w:rsidRPr="000418F2">
        <w:rPr>
          <w:i/>
          <w:iCs/>
          <w:lang w:val="en-US"/>
        </w:rPr>
        <w:t>Discipline and Punish</w:t>
      </w:r>
      <w:r w:rsidRPr="000418F2">
        <w:rPr>
          <w:lang w:val="en-US"/>
        </w:rPr>
        <w:t>, p. 48.</w:t>
      </w:r>
    </w:p>
  </w:footnote>
  <w:footnote w:id="25">
    <w:p w14:paraId="3A29F65D" w14:textId="31B22B2E" w:rsidR="000418F2" w:rsidRPr="000418F2" w:rsidRDefault="000418F2">
      <w:pPr>
        <w:pStyle w:val="FootnoteText"/>
        <w:rPr>
          <w:lang w:val="en-US"/>
        </w:rPr>
      </w:pPr>
      <w:r>
        <w:rPr>
          <w:rStyle w:val="FootnoteReference"/>
        </w:rPr>
        <w:footnoteRef/>
      </w:r>
      <w:r w:rsidRPr="000418F2">
        <w:rPr>
          <w:lang w:val="en-US"/>
        </w:rPr>
        <w:t xml:space="preserve"> Foucault, </w:t>
      </w:r>
      <w:r w:rsidRPr="000418F2">
        <w:rPr>
          <w:i/>
          <w:iCs/>
          <w:lang w:val="en-US"/>
        </w:rPr>
        <w:t>Discipline and Punish</w:t>
      </w:r>
      <w:r w:rsidRPr="000418F2">
        <w:rPr>
          <w:lang w:val="en-US"/>
        </w:rPr>
        <w:t>, p. 48.</w:t>
      </w:r>
    </w:p>
  </w:footnote>
  <w:footnote w:id="26">
    <w:p w14:paraId="74E31596" w14:textId="1F2FBC76" w:rsidR="000418F2" w:rsidRPr="000418F2" w:rsidRDefault="000418F2">
      <w:pPr>
        <w:pStyle w:val="FootnoteText"/>
        <w:rPr>
          <w:lang w:val="en-US"/>
        </w:rPr>
      </w:pPr>
      <w:r>
        <w:rPr>
          <w:rStyle w:val="FootnoteReference"/>
        </w:rPr>
        <w:footnoteRef/>
      </w:r>
      <w:r w:rsidRPr="00B21913">
        <w:rPr>
          <w:lang w:val="en-GB"/>
        </w:rPr>
        <w:t xml:space="preserve"> Foucault, </w:t>
      </w:r>
      <w:r w:rsidRPr="00B21913">
        <w:rPr>
          <w:i/>
          <w:iCs/>
          <w:lang w:val="en-GB"/>
        </w:rPr>
        <w:t>Madness and Civilization</w:t>
      </w:r>
      <w:r w:rsidRPr="00B21913">
        <w:rPr>
          <w:lang w:val="en-GB"/>
        </w:rPr>
        <w:t>.</w:t>
      </w:r>
    </w:p>
  </w:footnote>
  <w:footnote w:id="27">
    <w:p w14:paraId="6FBCAF42" w14:textId="1F3EBC64" w:rsidR="000418F2" w:rsidRPr="000418F2" w:rsidRDefault="000418F2">
      <w:pPr>
        <w:pStyle w:val="FootnoteText"/>
        <w:rPr>
          <w:lang w:val="en-US"/>
        </w:rPr>
      </w:pPr>
      <w:r>
        <w:rPr>
          <w:rStyle w:val="FootnoteReference"/>
        </w:rPr>
        <w:footnoteRef/>
      </w:r>
      <w:r w:rsidRPr="000418F2">
        <w:rPr>
          <w:lang w:val="en-US"/>
        </w:rPr>
        <w:t xml:space="preserve"> Foucault, </w:t>
      </w:r>
      <w:r w:rsidRPr="000418F2">
        <w:rPr>
          <w:i/>
          <w:iCs/>
          <w:lang w:val="en-US"/>
        </w:rPr>
        <w:t>Discipline and Punish</w:t>
      </w:r>
      <w:r w:rsidRPr="000418F2">
        <w:rPr>
          <w:lang w:val="en-US"/>
        </w:rPr>
        <w:t>, p. 2</w:t>
      </w:r>
      <w:r>
        <w:rPr>
          <w:lang w:val="en-US"/>
        </w:rPr>
        <w:t>98</w:t>
      </w:r>
      <w:r w:rsidRPr="000418F2">
        <w:rPr>
          <w:lang w:val="en-US"/>
        </w:rPr>
        <w:t>.</w:t>
      </w:r>
    </w:p>
  </w:footnote>
  <w:footnote w:id="28">
    <w:p w14:paraId="3375EDE5" w14:textId="44747A8F" w:rsidR="000418F2" w:rsidRPr="000418F2" w:rsidRDefault="000418F2">
      <w:pPr>
        <w:pStyle w:val="FootnoteText"/>
        <w:rPr>
          <w:lang w:val="en-US"/>
        </w:rPr>
      </w:pPr>
      <w:r>
        <w:rPr>
          <w:rStyle w:val="FootnoteReference"/>
        </w:rPr>
        <w:footnoteRef/>
      </w:r>
      <w:r w:rsidRPr="000418F2">
        <w:rPr>
          <w:lang w:val="en-US"/>
        </w:rPr>
        <w:t xml:space="preserve"> Foucault, </w:t>
      </w:r>
      <w:r w:rsidRPr="000418F2">
        <w:rPr>
          <w:i/>
          <w:iCs/>
          <w:lang w:val="en-US"/>
        </w:rPr>
        <w:t>Discipline and Punish</w:t>
      </w:r>
      <w:r w:rsidRPr="000418F2">
        <w:rPr>
          <w:lang w:val="en-US"/>
        </w:rPr>
        <w:t>, p. 201.</w:t>
      </w:r>
    </w:p>
  </w:footnote>
  <w:footnote w:id="29">
    <w:p w14:paraId="357D2303" w14:textId="08CE8B33" w:rsidR="004C006C" w:rsidRPr="004C006C" w:rsidRDefault="004C006C">
      <w:pPr>
        <w:pStyle w:val="FootnoteText"/>
        <w:rPr>
          <w:lang w:val="en-US"/>
        </w:rPr>
      </w:pPr>
      <w:r>
        <w:rPr>
          <w:rStyle w:val="FootnoteReference"/>
        </w:rPr>
        <w:footnoteRef/>
      </w:r>
      <w:r w:rsidRPr="00B21913">
        <w:rPr>
          <w:lang w:val="en-GB"/>
        </w:rPr>
        <w:t xml:space="preserve"> Foucault, 'Governmentality', p. 104.</w:t>
      </w:r>
    </w:p>
  </w:footnote>
  <w:footnote w:id="30">
    <w:p w14:paraId="0309664E" w14:textId="0E14DF69" w:rsidR="004C006C" w:rsidRPr="004C006C" w:rsidRDefault="004C006C">
      <w:pPr>
        <w:pStyle w:val="FootnoteText"/>
        <w:rPr>
          <w:lang w:val="en-US"/>
        </w:rPr>
      </w:pPr>
      <w:r>
        <w:rPr>
          <w:rStyle w:val="FootnoteReference"/>
        </w:rPr>
        <w:footnoteRef/>
      </w:r>
      <w:r w:rsidRPr="004C006C">
        <w:rPr>
          <w:lang w:val="en-US"/>
        </w:rPr>
        <w:t xml:space="preserve"> Michel Foucault, </w:t>
      </w:r>
      <w:r w:rsidRPr="004C006C">
        <w:rPr>
          <w:i/>
          <w:iCs/>
          <w:lang w:val="en-US"/>
        </w:rPr>
        <w:t>Ethics: Subjectivity and Truth</w:t>
      </w:r>
      <w:r w:rsidRPr="004C006C">
        <w:rPr>
          <w:lang w:val="en-US"/>
        </w:rPr>
        <w:t>, ed. by Paul Rabinow (</w:t>
      </w:r>
      <w:r w:rsidR="009D09E0">
        <w:rPr>
          <w:lang w:val="en-US"/>
        </w:rPr>
        <w:t xml:space="preserve">New York: </w:t>
      </w:r>
      <w:r w:rsidRPr="004C006C">
        <w:rPr>
          <w:lang w:val="en-US"/>
        </w:rPr>
        <w:t xml:space="preserve">The New Press, 1997); Mitchell Dean and Daniel Zamora, </w:t>
      </w:r>
      <w:r w:rsidRPr="004C006C">
        <w:rPr>
          <w:i/>
          <w:iCs/>
          <w:lang w:val="en-US"/>
        </w:rPr>
        <w:t>The Last Man Takes LSD: Foucault and the End of Revolution</w:t>
      </w:r>
      <w:r w:rsidRPr="004C006C">
        <w:rPr>
          <w:lang w:val="en-US"/>
        </w:rPr>
        <w:t xml:space="preserve"> (</w:t>
      </w:r>
      <w:r w:rsidR="009D09E0">
        <w:rPr>
          <w:lang w:val="en-US"/>
        </w:rPr>
        <w:t xml:space="preserve">London: </w:t>
      </w:r>
      <w:r w:rsidRPr="004C006C">
        <w:rPr>
          <w:lang w:val="en-US"/>
        </w:rPr>
        <w:t>Verso, 2021).</w:t>
      </w:r>
    </w:p>
  </w:footnote>
  <w:footnote w:id="31">
    <w:p w14:paraId="5A510EBA" w14:textId="0E749E75" w:rsidR="004C006C" w:rsidRPr="004C006C" w:rsidRDefault="004C006C">
      <w:pPr>
        <w:pStyle w:val="FootnoteText"/>
        <w:rPr>
          <w:lang w:val="en-US"/>
        </w:rPr>
      </w:pPr>
      <w:r>
        <w:rPr>
          <w:rStyle w:val="FootnoteReference"/>
        </w:rPr>
        <w:footnoteRef/>
      </w:r>
      <w:r w:rsidRPr="004C006C">
        <w:rPr>
          <w:lang w:val="en-US"/>
        </w:rPr>
        <w:t xml:space="preserve"> </w:t>
      </w:r>
      <w:r w:rsidR="006B0D10" w:rsidRPr="006B0D10">
        <w:rPr>
          <w:lang w:val="en-US"/>
        </w:rPr>
        <w:t xml:space="preserve">James C. Scott, </w:t>
      </w:r>
      <w:r w:rsidR="006B0D10" w:rsidRPr="006B0D10">
        <w:rPr>
          <w:i/>
          <w:iCs/>
          <w:lang w:val="en-US"/>
        </w:rPr>
        <w:t>Domination and the Arts of Resistance: Hidden Transcripts</w:t>
      </w:r>
      <w:r w:rsidR="006B0D10" w:rsidRPr="006B0D10">
        <w:rPr>
          <w:lang w:val="en-US"/>
        </w:rPr>
        <w:t xml:space="preserve"> (New Haven: Yale University Press, 1990); </w:t>
      </w:r>
      <w:r w:rsidRPr="004C006C">
        <w:rPr>
          <w:lang w:val="en-US"/>
        </w:rPr>
        <w:t xml:space="preserve">James C. Scott, </w:t>
      </w:r>
      <w:r w:rsidRPr="004C006C">
        <w:rPr>
          <w:i/>
          <w:iCs/>
          <w:lang w:val="en-US"/>
        </w:rPr>
        <w:t>The Art of Not Being Governed: An Anarchist History of Upland Southeast Asia</w:t>
      </w:r>
      <w:r w:rsidRPr="004C006C">
        <w:rPr>
          <w:lang w:val="en-US"/>
        </w:rPr>
        <w:t xml:space="preserve"> (</w:t>
      </w:r>
      <w:r w:rsidR="009D09E0">
        <w:rPr>
          <w:lang w:val="en-US"/>
        </w:rPr>
        <w:t xml:space="preserve">New Haven: </w:t>
      </w:r>
      <w:r w:rsidRPr="004C006C">
        <w:rPr>
          <w:lang w:val="en-US"/>
        </w:rPr>
        <w:t>Yale University Press, 2009);</w:t>
      </w:r>
      <w:r w:rsidR="007C512A">
        <w:rPr>
          <w:lang w:val="en-US"/>
        </w:rPr>
        <w:t xml:space="preserve"> </w:t>
      </w:r>
      <w:r w:rsidRPr="004C006C">
        <w:rPr>
          <w:lang w:val="en-US"/>
        </w:rPr>
        <w:t xml:space="preserve">Otto Lehto and Kaveh Pourvand, 'Interstitial Dynamism in the Open Society', </w:t>
      </w:r>
      <w:r w:rsidRPr="004C006C">
        <w:rPr>
          <w:i/>
          <w:iCs/>
          <w:lang w:val="en-US"/>
        </w:rPr>
        <w:t>Constellations</w:t>
      </w:r>
      <w:r w:rsidRPr="004C006C">
        <w:rPr>
          <w:lang w:val="en-US"/>
        </w:rPr>
        <w:t xml:space="preserve">, Online First (2025), </w:t>
      </w:r>
      <w:proofErr w:type="spellStart"/>
      <w:r w:rsidR="00325F5C">
        <w:rPr>
          <w:lang w:val="en-US"/>
        </w:rPr>
        <w:t>doi</w:t>
      </w:r>
      <w:proofErr w:type="spellEnd"/>
      <w:r w:rsidR="007034DC">
        <w:rPr>
          <w:lang w:val="en-US"/>
        </w:rPr>
        <w:t>:</w:t>
      </w:r>
      <w:r w:rsidRPr="004C006C">
        <w:rPr>
          <w:lang w:val="en-US"/>
        </w:rPr>
        <w:t xml:space="preserve"> 10.1111/1467-8675.70005.</w:t>
      </w:r>
    </w:p>
  </w:footnote>
  <w:footnote w:id="32">
    <w:p w14:paraId="015A8EB2" w14:textId="66E96DB7" w:rsidR="004C006C" w:rsidRPr="004C006C" w:rsidRDefault="004C006C">
      <w:pPr>
        <w:pStyle w:val="FootnoteText"/>
        <w:rPr>
          <w:lang w:val="en-US"/>
        </w:rPr>
      </w:pPr>
      <w:r>
        <w:rPr>
          <w:rStyle w:val="FootnoteReference"/>
        </w:rPr>
        <w:footnoteRef/>
      </w:r>
      <w:r w:rsidRPr="004C006C">
        <w:rPr>
          <w:lang w:val="en-US"/>
        </w:rPr>
        <w:t xml:space="preserve"> Alan Hunt and Gary Wickham, </w:t>
      </w:r>
      <w:r w:rsidRPr="004C006C">
        <w:rPr>
          <w:i/>
          <w:iCs/>
          <w:lang w:val="en-US"/>
        </w:rPr>
        <w:t>Foucault and Law: Towards a Sociology of Law as Governance</w:t>
      </w:r>
      <w:r w:rsidRPr="004C006C">
        <w:rPr>
          <w:lang w:val="en-US"/>
        </w:rPr>
        <w:t xml:space="preserve"> (</w:t>
      </w:r>
      <w:r w:rsidR="0012639A">
        <w:rPr>
          <w:lang w:val="en-US"/>
        </w:rPr>
        <w:t xml:space="preserve">London: </w:t>
      </w:r>
      <w:r w:rsidRPr="004C006C">
        <w:rPr>
          <w:lang w:val="en-US"/>
        </w:rPr>
        <w:t>Pluto Press, 1994).</w:t>
      </w:r>
    </w:p>
  </w:footnote>
  <w:footnote w:id="33">
    <w:p w14:paraId="2A1456E3" w14:textId="0CB04EBF" w:rsidR="004C006C" w:rsidRPr="004C006C" w:rsidRDefault="004C006C">
      <w:pPr>
        <w:pStyle w:val="FootnoteText"/>
        <w:rPr>
          <w:lang w:val="en-US"/>
        </w:rPr>
      </w:pPr>
      <w:r>
        <w:rPr>
          <w:rStyle w:val="FootnoteReference"/>
        </w:rPr>
        <w:footnoteRef/>
      </w:r>
      <w:r w:rsidRPr="004C006C">
        <w:rPr>
          <w:lang w:val="en-US"/>
        </w:rPr>
        <w:t xml:space="preserve"> François Ewald, </w:t>
      </w:r>
      <w:proofErr w:type="spellStart"/>
      <w:r w:rsidRPr="004C006C">
        <w:rPr>
          <w:i/>
          <w:iCs/>
          <w:lang w:val="en-US"/>
        </w:rPr>
        <w:t>L'État</w:t>
      </w:r>
      <w:proofErr w:type="spellEnd"/>
      <w:r w:rsidRPr="004C006C">
        <w:rPr>
          <w:i/>
          <w:iCs/>
          <w:lang w:val="en-US"/>
        </w:rPr>
        <w:t xml:space="preserve"> providence</w:t>
      </w:r>
      <w:r w:rsidRPr="004C006C">
        <w:rPr>
          <w:lang w:val="en-US"/>
        </w:rPr>
        <w:t xml:space="preserve"> (</w:t>
      </w:r>
      <w:r w:rsidR="0012639A">
        <w:rPr>
          <w:lang w:val="en-US"/>
        </w:rPr>
        <w:t xml:space="preserve">Paris: </w:t>
      </w:r>
      <w:r w:rsidRPr="004C006C">
        <w:rPr>
          <w:lang w:val="en-US"/>
        </w:rPr>
        <w:t xml:space="preserve">Grasset, 1986); François Ewald, 'Norms, Discipline, and the Law', </w:t>
      </w:r>
      <w:r w:rsidRPr="004C006C">
        <w:rPr>
          <w:i/>
          <w:iCs/>
          <w:lang w:val="en-US"/>
        </w:rPr>
        <w:t>Representations</w:t>
      </w:r>
      <w:r w:rsidRPr="004C006C">
        <w:rPr>
          <w:lang w:val="en-US"/>
        </w:rPr>
        <w:t xml:space="preserve">, 30 (1990), 138–161, </w:t>
      </w:r>
      <w:proofErr w:type="spellStart"/>
      <w:r w:rsidR="00325F5C">
        <w:rPr>
          <w:lang w:val="en-US"/>
        </w:rPr>
        <w:t>doi</w:t>
      </w:r>
      <w:proofErr w:type="spellEnd"/>
      <w:r w:rsidR="007034DC">
        <w:rPr>
          <w:lang w:val="en-US"/>
        </w:rPr>
        <w:t>:</w:t>
      </w:r>
      <w:r w:rsidRPr="004C006C">
        <w:rPr>
          <w:lang w:val="en-US"/>
        </w:rPr>
        <w:t xml:space="preserve"> 10.2307/2928449</w:t>
      </w:r>
      <w:r w:rsidR="008E41D0">
        <w:rPr>
          <w:lang w:val="en-US"/>
        </w:rPr>
        <w:t xml:space="preserve">; see also </w:t>
      </w:r>
      <w:r w:rsidR="008E41D0" w:rsidRPr="008E41D0">
        <w:rPr>
          <w:lang w:val="en-US"/>
        </w:rPr>
        <w:t xml:space="preserve">Fraser, </w:t>
      </w:r>
      <w:r w:rsidR="008E41D0" w:rsidRPr="008E41D0">
        <w:rPr>
          <w:i/>
          <w:iCs/>
          <w:lang w:val="en-US"/>
        </w:rPr>
        <w:t>Unruly Practices</w:t>
      </w:r>
      <w:r w:rsidR="008E41D0" w:rsidRPr="008E41D0">
        <w:rPr>
          <w:lang w:val="en-US"/>
        </w:rPr>
        <w:t>.</w:t>
      </w:r>
    </w:p>
  </w:footnote>
  <w:footnote w:id="34">
    <w:p w14:paraId="5ED3B0EA" w14:textId="23F9D7B8" w:rsidR="004C006C" w:rsidRPr="004C006C" w:rsidRDefault="004C006C">
      <w:pPr>
        <w:pStyle w:val="FootnoteText"/>
        <w:rPr>
          <w:lang w:val="en-US"/>
        </w:rPr>
      </w:pPr>
      <w:r>
        <w:rPr>
          <w:rStyle w:val="FootnoteReference"/>
        </w:rPr>
        <w:footnoteRef/>
      </w:r>
      <w:r w:rsidRPr="004C006C">
        <w:rPr>
          <w:lang w:val="en-US"/>
        </w:rPr>
        <w:t xml:space="preserve"> Foucault, </w:t>
      </w:r>
      <w:r w:rsidRPr="004C006C">
        <w:rPr>
          <w:i/>
          <w:iCs/>
          <w:lang w:val="en-US"/>
        </w:rPr>
        <w:t>Security, Territory, Population</w:t>
      </w:r>
      <w:r w:rsidRPr="004C006C">
        <w:rPr>
          <w:lang w:val="en-US"/>
        </w:rPr>
        <w:t xml:space="preserve">, p. 45. See also Stephen J. Collier, 'Topologies of Power: Foucault’s Analysis of Political Government Beyond “Governmentality”', </w:t>
      </w:r>
      <w:r w:rsidRPr="004C006C">
        <w:rPr>
          <w:i/>
          <w:iCs/>
          <w:lang w:val="en-US"/>
        </w:rPr>
        <w:t>Theory, Culture &amp; Society</w:t>
      </w:r>
      <w:r w:rsidRPr="004C006C">
        <w:rPr>
          <w:lang w:val="en-US"/>
        </w:rPr>
        <w:t xml:space="preserve">, 26.6 (2009), 78–108, </w:t>
      </w:r>
      <w:proofErr w:type="spellStart"/>
      <w:r w:rsidR="00325F5C">
        <w:rPr>
          <w:lang w:val="en-US"/>
        </w:rPr>
        <w:t>doi</w:t>
      </w:r>
      <w:proofErr w:type="spellEnd"/>
      <w:r w:rsidR="007034DC">
        <w:rPr>
          <w:lang w:val="en-US"/>
        </w:rPr>
        <w:t>:</w:t>
      </w:r>
      <w:r w:rsidRPr="004C006C">
        <w:rPr>
          <w:lang w:val="en-US"/>
        </w:rPr>
        <w:t xml:space="preserve"> 10.1177/0263276409347694; Dean, </w:t>
      </w:r>
      <w:r w:rsidRPr="004C006C">
        <w:rPr>
          <w:i/>
          <w:iCs/>
          <w:lang w:val="en-US"/>
        </w:rPr>
        <w:t>Governmentality</w:t>
      </w:r>
      <w:r w:rsidRPr="004C006C">
        <w:rPr>
          <w:lang w:val="en-US"/>
        </w:rPr>
        <w:t>.</w:t>
      </w:r>
    </w:p>
  </w:footnote>
  <w:footnote w:id="35">
    <w:p w14:paraId="12564387" w14:textId="46114CB7" w:rsidR="004C006C" w:rsidRPr="004C006C" w:rsidRDefault="004C006C">
      <w:pPr>
        <w:pStyle w:val="FootnoteText"/>
        <w:rPr>
          <w:lang w:val="en-US"/>
        </w:rPr>
      </w:pPr>
      <w:r>
        <w:rPr>
          <w:rStyle w:val="FootnoteReference"/>
        </w:rPr>
        <w:footnoteRef/>
      </w:r>
      <w:r w:rsidRPr="004C006C">
        <w:rPr>
          <w:lang w:val="en-US"/>
        </w:rPr>
        <w:t xml:space="preserve"> Michel Foucault, 'Omnes et </w:t>
      </w:r>
      <w:proofErr w:type="spellStart"/>
      <w:r w:rsidRPr="004C006C">
        <w:rPr>
          <w:lang w:val="en-US"/>
        </w:rPr>
        <w:t>Singulatim</w:t>
      </w:r>
      <w:proofErr w:type="spellEnd"/>
      <w:r w:rsidRPr="004C006C">
        <w:rPr>
          <w:lang w:val="en-US"/>
        </w:rPr>
        <w:t xml:space="preserve">: Toward a Critique of Political Reason', in </w:t>
      </w:r>
      <w:r w:rsidRPr="004C006C">
        <w:rPr>
          <w:i/>
          <w:iCs/>
          <w:lang w:val="en-US"/>
        </w:rPr>
        <w:t>Power: Essential Works of Foucault, 1954–1984</w:t>
      </w:r>
      <w:r w:rsidRPr="004C006C">
        <w:rPr>
          <w:lang w:val="en-US"/>
        </w:rPr>
        <w:t>, ed. by James D. Faubion (The New Press, 2000), pp. 298–325 (p. 300).</w:t>
      </w:r>
    </w:p>
  </w:footnote>
  <w:footnote w:id="36">
    <w:p w14:paraId="5D75980F" w14:textId="048F6E6D" w:rsidR="004C006C" w:rsidRPr="004C006C" w:rsidRDefault="004C006C">
      <w:pPr>
        <w:pStyle w:val="FootnoteText"/>
        <w:rPr>
          <w:lang w:val="en-US"/>
        </w:rPr>
      </w:pPr>
      <w:r>
        <w:rPr>
          <w:rStyle w:val="FootnoteReference"/>
        </w:rPr>
        <w:footnoteRef/>
      </w:r>
      <w:r w:rsidRPr="00B21913">
        <w:rPr>
          <w:lang w:val="en-GB"/>
        </w:rPr>
        <w:t xml:space="preserve"> Foucault, 'Omnes et </w:t>
      </w:r>
      <w:proofErr w:type="spellStart"/>
      <w:r w:rsidRPr="00B21913">
        <w:rPr>
          <w:lang w:val="en-GB"/>
        </w:rPr>
        <w:t>Singulatim</w:t>
      </w:r>
      <w:proofErr w:type="spellEnd"/>
      <w:r w:rsidRPr="00B21913">
        <w:rPr>
          <w:lang w:val="en-GB"/>
        </w:rPr>
        <w:t>', p. 301.</w:t>
      </w:r>
    </w:p>
  </w:footnote>
  <w:footnote w:id="37">
    <w:p w14:paraId="6C804516" w14:textId="59EAB273" w:rsidR="004C006C" w:rsidRPr="004C006C" w:rsidRDefault="004C006C">
      <w:pPr>
        <w:pStyle w:val="FootnoteText"/>
        <w:rPr>
          <w:lang w:val="en-US"/>
        </w:rPr>
      </w:pPr>
      <w:r>
        <w:rPr>
          <w:rStyle w:val="FootnoteReference"/>
        </w:rPr>
        <w:footnoteRef/>
      </w:r>
      <w:r w:rsidRPr="004C006C">
        <w:rPr>
          <w:lang w:val="en-US"/>
        </w:rPr>
        <w:t xml:space="preserve"> Foucault, </w:t>
      </w:r>
      <w:r w:rsidRPr="004C006C">
        <w:rPr>
          <w:i/>
          <w:iCs/>
          <w:lang w:val="en-US"/>
        </w:rPr>
        <w:t>Security, Territory, Population</w:t>
      </w:r>
      <w:r w:rsidRPr="004C006C">
        <w:rPr>
          <w:lang w:val="en-US"/>
        </w:rPr>
        <w:t>, p. 165.</w:t>
      </w:r>
    </w:p>
  </w:footnote>
  <w:footnote w:id="38">
    <w:p w14:paraId="45EC5E7B" w14:textId="229749DD" w:rsidR="004C006C" w:rsidRPr="004C006C" w:rsidRDefault="004C006C">
      <w:pPr>
        <w:pStyle w:val="FootnoteText"/>
        <w:rPr>
          <w:lang w:val="en-US"/>
        </w:rPr>
      </w:pPr>
      <w:r>
        <w:rPr>
          <w:rStyle w:val="FootnoteReference"/>
        </w:rPr>
        <w:footnoteRef/>
      </w:r>
      <w:r w:rsidRPr="004C006C">
        <w:rPr>
          <w:lang w:val="en-US"/>
        </w:rPr>
        <w:t xml:space="preserve"> Foucault, 'The Subject and Power', </w:t>
      </w:r>
      <w:r w:rsidRPr="004C006C">
        <w:rPr>
          <w:i/>
          <w:iCs/>
          <w:lang w:val="en-US"/>
        </w:rPr>
        <w:t>Critical Inquiry</w:t>
      </w:r>
      <w:r w:rsidRPr="004C006C">
        <w:rPr>
          <w:lang w:val="en-US"/>
        </w:rPr>
        <w:t>, 8.4 (1982), 777–795</w:t>
      </w:r>
      <w:r w:rsidR="00034C9A">
        <w:rPr>
          <w:lang w:val="en-US"/>
        </w:rPr>
        <w:t xml:space="preserve">, </w:t>
      </w:r>
      <w:proofErr w:type="spellStart"/>
      <w:r w:rsidR="00034C9A" w:rsidRPr="00034C9A">
        <w:rPr>
          <w:lang w:val="en-GB"/>
        </w:rPr>
        <w:t>doi</w:t>
      </w:r>
      <w:proofErr w:type="spellEnd"/>
      <w:r w:rsidR="00034C9A" w:rsidRPr="00034C9A">
        <w:rPr>
          <w:lang w:val="en-GB"/>
        </w:rPr>
        <w:t>: 10.1086/448181</w:t>
      </w:r>
      <w:r w:rsidRPr="004C006C">
        <w:rPr>
          <w:lang w:val="en-US"/>
        </w:rPr>
        <w:t xml:space="preserve">; Foucault, </w:t>
      </w:r>
      <w:r w:rsidRPr="004C006C">
        <w:rPr>
          <w:i/>
          <w:iCs/>
          <w:lang w:val="en-US"/>
        </w:rPr>
        <w:t>Security, Territory, Population</w:t>
      </w:r>
      <w:r w:rsidRPr="004C006C">
        <w:rPr>
          <w:lang w:val="en-US"/>
        </w:rPr>
        <w:t xml:space="preserve">; Peter Miller and Nikolas Rose, 'Governing Economic Life', </w:t>
      </w:r>
      <w:r w:rsidRPr="004C006C">
        <w:rPr>
          <w:i/>
          <w:iCs/>
          <w:lang w:val="en-US"/>
        </w:rPr>
        <w:t>Economy and Society</w:t>
      </w:r>
      <w:r w:rsidRPr="004C006C">
        <w:rPr>
          <w:lang w:val="en-US"/>
        </w:rPr>
        <w:t>, 19.1 (1990), 1–31</w:t>
      </w:r>
      <w:r w:rsidR="001671BD">
        <w:rPr>
          <w:lang w:val="en-US"/>
        </w:rPr>
        <w:t xml:space="preserve">, </w:t>
      </w:r>
      <w:proofErr w:type="spellStart"/>
      <w:r w:rsidR="001671BD" w:rsidRPr="001671BD">
        <w:rPr>
          <w:lang w:val="en-GB"/>
        </w:rPr>
        <w:t>doi</w:t>
      </w:r>
      <w:proofErr w:type="spellEnd"/>
      <w:r w:rsidR="001671BD" w:rsidRPr="001671BD">
        <w:rPr>
          <w:lang w:val="en-GB"/>
        </w:rPr>
        <w:t>: 10.1080/03085149000000001</w:t>
      </w:r>
      <w:r w:rsidRPr="004C006C">
        <w:rPr>
          <w:lang w:val="en-US"/>
        </w:rPr>
        <w:t xml:space="preserve">; Dean, </w:t>
      </w:r>
      <w:r w:rsidRPr="004C006C">
        <w:rPr>
          <w:i/>
          <w:iCs/>
          <w:lang w:val="en-US"/>
        </w:rPr>
        <w:t>Governmentality</w:t>
      </w:r>
      <w:r w:rsidRPr="004C006C">
        <w:rPr>
          <w:lang w:val="en-US"/>
        </w:rPr>
        <w:t>.</w:t>
      </w:r>
    </w:p>
  </w:footnote>
  <w:footnote w:id="39">
    <w:p w14:paraId="1E85540C" w14:textId="4BD53895" w:rsidR="004C006C" w:rsidRPr="004C006C" w:rsidRDefault="004C006C">
      <w:pPr>
        <w:pStyle w:val="FootnoteText"/>
        <w:rPr>
          <w:lang w:val="en-US"/>
        </w:rPr>
      </w:pPr>
      <w:r>
        <w:rPr>
          <w:rStyle w:val="FootnoteReference"/>
        </w:rPr>
        <w:footnoteRef/>
      </w:r>
      <w:r w:rsidRPr="004C006C">
        <w:rPr>
          <w:lang w:val="en-US"/>
        </w:rPr>
        <w:t xml:space="preserve"> Foucault, </w:t>
      </w:r>
      <w:r w:rsidRPr="004C006C">
        <w:rPr>
          <w:i/>
          <w:iCs/>
          <w:lang w:val="en-US"/>
        </w:rPr>
        <w:t>Security, Territory, Population</w:t>
      </w:r>
      <w:r w:rsidRPr="004C006C">
        <w:rPr>
          <w:lang w:val="en-US"/>
        </w:rPr>
        <w:t>, p. 327.</w:t>
      </w:r>
    </w:p>
  </w:footnote>
  <w:footnote w:id="40">
    <w:p w14:paraId="1893D04A" w14:textId="729B91EB" w:rsidR="004C006C" w:rsidRPr="004C006C" w:rsidRDefault="004C006C">
      <w:pPr>
        <w:pStyle w:val="FootnoteText"/>
        <w:rPr>
          <w:lang w:val="en-US"/>
        </w:rPr>
      </w:pPr>
      <w:r>
        <w:rPr>
          <w:rStyle w:val="FootnoteReference"/>
        </w:rPr>
        <w:footnoteRef/>
      </w:r>
      <w:r w:rsidRPr="004C006C">
        <w:rPr>
          <w:lang w:val="en-US"/>
        </w:rPr>
        <w:t xml:space="preserve"> Foucault, 'The Subject and Power'; Foucault, </w:t>
      </w:r>
      <w:r w:rsidRPr="004C006C">
        <w:rPr>
          <w:i/>
          <w:iCs/>
          <w:lang w:val="en-US"/>
        </w:rPr>
        <w:t>Security, Territory, Population</w:t>
      </w:r>
      <w:r w:rsidRPr="004C006C">
        <w:rPr>
          <w:lang w:val="en-US"/>
        </w:rPr>
        <w:t xml:space="preserve">; Dean, </w:t>
      </w:r>
      <w:r w:rsidRPr="004C006C">
        <w:rPr>
          <w:i/>
          <w:iCs/>
          <w:lang w:val="en-US"/>
        </w:rPr>
        <w:t>Governmentality</w:t>
      </w:r>
      <w:r w:rsidRPr="004C006C">
        <w:rPr>
          <w:lang w:val="en-US"/>
        </w:rPr>
        <w:t>.</w:t>
      </w:r>
    </w:p>
  </w:footnote>
  <w:footnote w:id="41">
    <w:p w14:paraId="77E87C7C" w14:textId="6A6CE116" w:rsidR="004C006C" w:rsidRPr="004C006C" w:rsidRDefault="004C006C">
      <w:pPr>
        <w:pStyle w:val="FootnoteText"/>
        <w:rPr>
          <w:lang w:val="en-US"/>
        </w:rPr>
      </w:pPr>
      <w:r>
        <w:rPr>
          <w:rStyle w:val="FootnoteReference"/>
        </w:rPr>
        <w:footnoteRef/>
      </w:r>
      <w:r w:rsidRPr="004C006C">
        <w:rPr>
          <w:lang w:val="en-US"/>
        </w:rPr>
        <w:t xml:space="preserve"> Foucault, </w:t>
      </w:r>
      <w:r w:rsidRPr="004C006C">
        <w:rPr>
          <w:i/>
          <w:iCs/>
          <w:lang w:val="en-US"/>
        </w:rPr>
        <w:t>“Society Must Be Defended”</w:t>
      </w:r>
      <w:r w:rsidRPr="004C006C">
        <w:rPr>
          <w:lang w:val="en-US"/>
        </w:rPr>
        <w:t xml:space="preserve">; Foucault, </w:t>
      </w:r>
      <w:r w:rsidRPr="004C006C">
        <w:rPr>
          <w:i/>
          <w:iCs/>
          <w:lang w:val="en-US"/>
        </w:rPr>
        <w:t>Security, Territory, Population</w:t>
      </w:r>
      <w:r w:rsidRPr="004C006C">
        <w:rPr>
          <w:lang w:val="en-US"/>
        </w:rPr>
        <w:t>.</w:t>
      </w:r>
    </w:p>
  </w:footnote>
  <w:footnote w:id="42">
    <w:p w14:paraId="593A9D0D" w14:textId="28B29DDB" w:rsidR="004C006C" w:rsidRPr="004C006C" w:rsidRDefault="004C006C">
      <w:pPr>
        <w:pStyle w:val="FootnoteText"/>
        <w:rPr>
          <w:lang w:val="en-US"/>
        </w:rPr>
      </w:pPr>
      <w:r>
        <w:rPr>
          <w:rStyle w:val="FootnoteReference"/>
        </w:rPr>
        <w:footnoteRef/>
      </w:r>
      <w:r w:rsidRPr="004C006C">
        <w:rPr>
          <w:lang w:val="en-US"/>
        </w:rPr>
        <w:t xml:space="preserve"> Foucault, </w:t>
      </w:r>
      <w:r w:rsidRPr="004C006C">
        <w:rPr>
          <w:i/>
          <w:iCs/>
          <w:lang w:val="en-US"/>
        </w:rPr>
        <w:t>“Society Must Be Defended”</w:t>
      </w:r>
      <w:r w:rsidRPr="004C006C">
        <w:rPr>
          <w:lang w:val="en-US"/>
        </w:rPr>
        <w:t>, p. 241.</w:t>
      </w:r>
    </w:p>
  </w:footnote>
  <w:footnote w:id="43">
    <w:p w14:paraId="7FA95200" w14:textId="4E0C6D26" w:rsidR="000A5D94" w:rsidRPr="000A5D94" w:rsidRDefault="000A5D94">
      <w:pPr>
        <w:pStyle w:val="FootnoteText"/>
        <w:rPr>
          <w:lang w:val="en-US"/>
        </w:rPr>
      </w:pPr>
      <w:r>
        <w:rPr>
          <w:rStyle w:val="FootnoteReference"/>
        </w:rPr>
        <w:footnoteRef/>
      </w:r>
      <w:r w:rsidRPr="000A5D94">
        <w:rPr>
          <w:lang w:val="en-US"/>
        </w:rPr>
        <w:t xml:space="preserve"> Foucault, </w:t>
      </w:r>
      <w:r w:rsidRPr="000A5D94">
        <w:rPr>
          <w:i/>
          <w:iCs/>
          <w:lang w:val="en-US"/>
        </w:rPr>
        <w:t>“Society Must Be Defended”</w:t>
      </w:r>
      <w:r w:rsidRPr="000A5D94">
        <w:rPr>
          <w:lang w:val="en-US"/>
        </w:rPr>
        <w:t>; Achille Mbembe, '</w:t>
      </w:r>
      <w:proofErr w:type="spellStart"/>
      <w:r w:rsidRPr="000A5D94">
        <w:rPr>
          <w:lang w:val="en-US"/>
        </w:rPr>
        <w:t>Necropolitics</w:t>
      </w:r>
      <w:proofErr w:type="spellEnd"/>
      <w:r w:rsidRPr="000A5D94">
        <w:rPr>
          <w:lang w:val="en-US"/>
        </w:rPr>
        <w:t xml:space="preserve">', </w:t>
      </w:r>
      <w:r w:rsidRPr="000A5D94">
        <w:rPr>
          <w:i/>
          <w:iCs/>
          <w:lang w:val="en-US"/>
        </w:rPr>
        <w:t>Public Culture</w:t>
      </w:r>
      <w:r w:rsidRPr="000A5D94">
        <w:rPr>
          <w:lang w:val="en-US"/>
        </w:rPr>
        <w:t xml:space="preserve">, 15.1 (2003), 11–40, </w:t>
      </w:r>
      <w:proofErr w:type="spellStart"/>
      <w:r w:rsidR="00325F5C">
        <w:rPr>
          <w:lang w:val="en-US"/>
        </w:rPr>
        <w:t>doi</w:t>
      </w:r>
      <w:proofErr w:type="spellEnd"/>
      <w:r w:rsidR="007034DC">
        <w:rPr>
          <w:lang w:val="en-US"/>
        </w:rPr>
        <w:t>:</w:t>
      </w:r>
      <w:r w:rsidRPr="000A5D94">
        <w:rPr>
          <w:lang w:val="en-US"/>
        </w:rPr>
        <w:t xml:space="preserve"> 10.1215/08992363-15-1-11.</w:t>
      </w:r>
    </w:p>
  </w:footnote>
  <w:footnote w:id="44">
    <w:p w14:paraId="28338E43" w14:textId="5A32DD30" w:rsidR="000A5D94" w:rsidRPr="000A5D94" w:rsidRDefault="000A5D94">
      <w:pPr>
        <w:pStyle w:val="FootnoteText"/>
        <w:rPr>
          <w:lang w:val="en-US"/>
        </w:rPr>
      </w:pPr>
      <w:r>
        <w:rPr>
          <w:rStyle w:val="FootnoteReference"/>
        </w:rPr>
        <w:footnoteRef/>
      </w:r>
      <w:r w:rsidRPr="00B21913">
        <w:rPr>
          <w:lang w:val="en-GB"/>
        </w:rPr>
        <w:t xml:space="preserve"> Ewald,</w:t>
      </w:r>
      <w:r w:rsidRPr="00B21913">
        <w:rPr>
          <w:i/>
          <w:iCs/>
          <w:lang w:val="en-GB"/>
        </w:rPr>
        <w:t xml:space="preserve"> </w:t>
      </w:r>
      <w:proofErr w:type="spellStart"/>
      <w:r w:rsidRPr="00B21913">
        <w:rPr>
          <w:i/>
          <w:iCs/>
          <w:lang w:val="en-GB"/>
        </w:rPr>
        <w:t>L'État</w:t>
      </w:r>
      <w:proofErr w:type="spellEnd"/>
      <w:r w:rsidRPr="00B21913">
        <w:rPr>
          <w:i/>
          <w:iCs/>
          <w:lang w:val="en-GB"/>
        </w:rPr>
        <w:t xml:space="preserve"> providence</w:t>
      </w:r>
      <w:r w:rsidRPr="00B21913">
        <w:rPr>
          <w:lang w:val="en-GB"/>
        </w:rPr>
        <w:t>.</w:t>
      </w:r>
    </w:p>
  </w:footnote>
  <w:footnote w:id="45">
    <w:p w14:paraId="08B0560B" w14:textId="4452C310" w:rsidR="000A5D94" w:rsidRPr="000A5D94" w:rsidRDefault="000A5D94">
      <w:pPr>
        <w:pStyle w:val="FootnoteText"/>
        <w:rPr>
          <w:lang w:val="en-US"/>
        </w:rPr>
      </w:pPr>
      <w:r>
        <w:rPr>
          <w:rStyle w:val="FootnoteReference"/>
        </w:rPr>
        <w:footnoteRef/>
      </w:r>
      <w:r w:rsidRPr="000A5D94">
        <w:rPr>
          <w:lang w:val="en-US"/>
        </w:rPr>
        <w:t xml:space="preserve"> Foucault, </w:t>
      </w:r>
      <w:r w:rsidRPr="000A5D94">
        <w:rPr>
          <w:i/>
          <w:iCs/>
          <w:lang w:val="en-US"/>
        </w:rPr>
        <w:t>Security, Territory, Population</w:t>
      </w:r>
      <w:r w:rsidRPr="000A5D94">
        <w:rPr>
          <w:lang w:val="en-US"/>
        </w:rPr>
        <w:t xml:space="preserve">, pp. 107-108; </w:t>
      </w:r>
      <w:r>
        <w:rPr>
          <w:lang w:val="en-US"/>
        </w:rPr>
        <w:t xml:space="preserve">see also </w:t>
      </w:r>
      <w:r w:rsidRPr="000A5D94">
        <w:rPr>
          <w:lang w:val="en-US"/>
        </w:rPr>
        <w:t>Collier, 'Topologies of Power'.</w:t>
      </w:r>
    </w:p>
  </w:footnote>
  <w:footnote w:id="46">
    <w:p w14:paraId="6371662E" w14:textId="1D47CCD4" w:rsidR="00855438" w:rsidRPr="00855438" w:rsidRDefault="00855438">
      <w:pPr>
        <w:pStyle w:val="FootnoteText"/>
        <w:rPr>
          <w:lang w:val="en-US"/>
        </w:rPr>
      </w:pPr>
      <w:r>
        <w:rPr>
          <w:rStyle w:val="FootnoteReference"/>
        </w:rPr>
        <w:footnoteRef/>
      </w:r>
      <w:r w:rsidRPr="00855438">
        <w:rPr>
          <w:lang w:val="en-US"/>
        </w:rPr>
        <w:t xml:space="preserve"> </w:t>
      </w:r>
      <w:proofErr w:type="spellStart"/>
      <w:r w:rsidRPr="00855438">
        <w:rPr>
          <w:lang w:val="en-US"/>
        </w:rPr>
        <w:t>Tiisala</w:t>
      </w:r>
      <w:proofErr w:type="spellEnd"/>
      <w:r w:rsidRPr="00855438">
        <w:rPr>
          <w:lang w:val="en-US"/>
        </w:rPr>
        <w:t xml:space="preserve">, </w:t>
      </w:r>
      <w:r w:rsidRPr="00855438">
        <w:rPr>
          <w:i/>
          <w:iCs/>
          <w:lang w:val="en-US"/>
        </w:rPr>
        <w:t>Power and Freedom in the Space of Reasons</w:t>
      </w:r>
      <w:r>
        <w:rPr>
          <w:i/>
          <w:iCs/>
          <w:lang w:val="en-US"/>
        </w:rPr>
        <w:t>.</w:t>
      </w:r>
    </w:p>
  </w:footnote>
  <w:footnote w:id="47">
    <w:p w14:paraId="1EF45B65" w14:textId="568107DC" w:rsidR="00855438" w:rsidRPr="00855438" w:rsidRDefault="00855438">
      <w:pPr>
        <w:pStyle w:val="FootnoteText"/>
        <w:rPr>
          <w:lang w:val="en-US"/>
        </w:rPr>
      </w:pPr>
      <w:r>
        <w:rPr>
          <w:rStyle w:val="FootnoteReference"/>
        </w:rPr>
        <w:footnoteRef/>
      </w:r>
      <w:r w:rsidRPr="00855438">
        <w:rPr>
          <w:lang w:val="en-US"/>
        </w:rPr>
        <w:t xml:space="preserve"> Foucault, </w:t>
      </w:r>
      <w:r w:rsidRPr="00855438">
        <w:rPr>
          <w:i/>
          <w:iCs/>
          <w:lang w:val="en-US"/>
        </w:rPr>
        <w:t>Security, Territory, Population</w:t>
      </w:r>
      <w:r w:rsidRPr="00855438">
        <w:rPr>
          <w:lang w:val="en-US"/>
        </w:rPr>
        <w:t xml:space="preserve">; Stuart Elden, </w:t>
      </w:r>
      <w:r w:rsidRPr="00855438">
        <w:rPr>
          <w:i/>
          <w:iCs/>
          <w:lang w:val="en-US"/>
        </w:rPr>
        <w:t>The Birth of Territory</w:t>
      </w:r>
      <w:r w:rsidRPr="00855438">
        <w:rPr>
          <w:lang w:val="en-US"/>
        </w:rPr>
        <w:t xml:space="preserve"> (</w:t>
      </w:r>
      <w:r w:rsidR="00A02BA0">
        <w:rPr>
          <w:lang w:val="en-US"/>
        </w:rPr>
        <w:t xml:space="preserve">Chicago: </w:t>
      </w:r>
      <w:r w:rsidRPr="00855438">
        <w:rPr>
          <w:lang w:val="en-US"/>
        </w:rPr>
        <w:t>University of Chicago Press, 2013).</w:t>
      </w:r>
    </w:p>
  </w:footnote>
  <w:footnote w:id="48">
    <w:p w14:paraId="42B3B610" w14:textId="7E4212F9" w:rsidR="00B21913" w:rsidRPr="00B21913" w:rsidRDefault="00B21913">
      <w:pPr>
        <w:pStyle w:val="FootnoteText"/>
        <w:rPr>
          <w:lang w:val="en-GB"/>
        </w:rPr>
      </w:pPr>
      <w:r>
        <w:rPr>
          <w:rStyle w:val="FootnoteReference"/>
        </w:rPr>
        <w:footnoteRef/>
      </w:r>
      <w:r w:rsidRPr="00B21913">
        <w:rPr>
          <w:lang w:val="en-GB"/>
        </w:rPr>
        <w:t xml:space="preserve"> Foucault, </w:t>
      </w:r>
      <w:r w:rsidRPr="00B21913">
        <w:rPr>
          <w:i/>
          <w:iCs/>
          <w:lang w:val="en-GB"/>
        </w:rPr>
        <w:t>“Society Must Be Defended”</w:t>
      </w:r>
      <w:r w:rsidRPr="00B21913">
        <w:rPr>
          <w:lang w:val="en-GB"/>
        </w:rPr>
        <w:t xml:space="preserve">, p. 241. See also Giorgio Agamben, </w:t>
      </w:r>
      <w:r w:rsidRPr="00B21913">
        <w:rPr>
          <w:i/>
          <w:iCs/>
          <w:lang w:val="en-GB"/>
        </w:rPr>
        <w:t xml:space="preserve">Homo </w:t>
      </w:r>
      <w:proofErr w:type="spellStart"/>
      <w:r w:rsidRPr="00B21913">
        <w:rPr>
          <w:i/>
          <w:iCs/>
          <w:lang w:val="en-GB"/>
        </w:rPr>
        <w:t>Sacer</w:t>
      </w:r>
      <w:proofErr w:type="spellEnd"/>
      <w:r w:rsidRPr="00B21913">
        <w:rPr>
          <w:i/>
          <w:iCs/>
          <w:lang w:val="en-GB"/>
        </w:rPr>
        <w:t>: Sovereign Power and Bare Life</w:t>
      </w:r>
      <w:r w:rsidRPr="00B21913">
        <w:rPr>
          <w:lang w:val="en-GB"/>
        </w:rPr>
        <w:t xml:space="preserve"> (</w:t>
      </w:r>
      <w:r w:rsidR="00A02BA0">
        <w:rPr>
          <w:lang w:val="en-GB"/>
        </w:rPr>
        <w:t xml:space="preserve">Stanford: </w:t>
      </w:r>
      <w:r w:rsidRPr="00B21913">
        <w:rPr>
          <w:lang w:val="en-GB"/>
        </w:rPr>
        <w:t>Stanford University Press, 1998)</w:t>
      </w:r>
      <w:r w:rsidR="00A53148">
        <w:rPr>
          <w:lang w:val="en-GB"/>
        </w:rPr>
        <w:t>.</w:t>
      </w:r>
    </w:p>
  </w:footnote>
  <w:footnote w:id="49">
    <w:p w14:paraId="7DA97570" w14:textId="7E884D3A" w:rsidR="00A53148" w:rsidRPr="00A53148" w:rsidRDefault="00A53148">
      <w:pPr>
        <w:pStyle w:val="FootnoteText"/>
        <w:rPr>
          <w:lang w:val="en-GB"/>
        </w:rPr>
      </w:pPr>
      <w:r>
        <w:rPr>
          <w:rStyle w:val="FootnoteReference"/>
        </w:rPr>
        <w:footnoteRef/>
      </w:r>
      <w:r w:rsidRPr="00A53148">
        <w:rPr>
          <w:lang w:val="en-GB"/>
        </w:rPr>
        <w:t xml:space="preserve"> Foucault, </w:t>
      </w:r>
      <w:r w:rsidRPr="00A53148">
        <w:rPr>
          <w:i/>
          <w:iCs/>
          <w:lang w:val="en-GB"/>
        </w:rPr>
        <w:t>Discipline and Punish</w:t>
      </w:r>
      <w:r w:rsidRPr="00A53148">
        <w:rPr>
          <w:lang w:val="en-GB"/>
        </w:rPr>
        <w:t>.</w:t>
      </w:r>
    </w:p>
  </w:footnote>
  <w:footnote w:id="50">
    <w:p w14:paraId="45DC52AB" w14:textId="55C95B32" w:rsidR="00E4455B" w:rsidRPr="00E4455B" w:rsidRDefault="00E4455B">
      <w:pPr>
        <w:pStyle w:val="FootnoteText"/>
        <w:rPr>
          <w:lang w:val="en-GB"/>
        </w:rPr>
      </w:pPr>
      <w:r>
        <w:rPr>
          <w:rStyle w:val="FootnoteReference"/>
        </w:rPr>
        <w:footnoteRef/>
      </w:r>
      <w:r w:rsidRPr="00E4455B">
        <w:rPr>
          <w:lang w:val="en-GB"/>
        </w:rPr>
        <w:t xml:space="preserve"> Foucault, </w:t>
      </w:r>
      <w:r w:rsidRPr="00E4455B">
        <w:rPr>
          <w:i/>
          <w:iCs/>
          <w:lang w:val="en-GB"/>
        </w:rPr>
        <w:t>Security, Territory, Population</w:t>
      </w:r>
      <w:r w:rsidRPr="00E4455B">
        <w:rPr>
          <w:lang w:val="en-GB"/>
        </w:rPr>
        <w:t>, p. 45.</w:t>
      </w:r>
    </w:p>
  </w:footnote>
  <w:footnote w:id="51">
    <w:p w14:paraId="0AF23A1D" w14:textId="6C7D56DD" w:rsidR="006A7DFD" w:rsidRPr="006A7DFD" w:rsidRDefault="006A7DFD">
      <w:pPr>
        <w:pStyle w:val="FootnoteText"/>
        <w:rPr>
          <w:lang w:val="en-GB"/>
        </w:rPr>
      </w:pPr>
      <w:r>
        <w:rPr>
          <w:rStyle w:val="FootnoteReference"/>
        </w:rPr>
        <w:footnoteRef/>
      </w:r>
      <w:r w:rsidRPr="006A7DFD">
        <w:rPr>
          <w:lang w:val="en-GB"/>
        </w:rPr>
        <w:t xml:space="preserve"> Timothy Mitchell, 'The Limits of the State: Beyond Statist Approaches and Their Critics', </w:t>
      </w:r>
      <w:r w:rsidRPr="006A7DFD">
        <w:rPr>
          <w:i/>
          <w:iCs/>
          <w:lang w:val="en-GB"/>
        </w:rPr>
        <w:t>American Political Science Review</w:t>
      </w:r>
      <w:r w:rsidRPr="006A7DFD">
        <w:rPr>
          <w:lang w:val="en-GB"/>
        </w:rPr>
        <w:t xml:space="preserve">, 85.1 (1991), 77–96, </w:t>
      </w:r>
      <w:proofErr w:type="spellStart"/>
      <w:r w:rsidR="00325F5C">
        <w:rPr>
          <w:lang w:val="en-GB"/>
        </w:rPr>
        <w:t>doi</w:t>
      </w:r>
      <w:proofErr w:type="spellEnd"/>
      <w:r w:rsidR="00325F5C">
        <w:rPr>
          <w:lang w:val="en-GB"/>
        </w:rPr>
        <w:t>:</w:t>
      </w:r>
      <w:r w:rsidRPr="006A7DFD">
        <w:rPr>
          <w:lang w:val="en-GB"/>
        </w:rPr>
        <w:t xml:space="preserve"> 10.2307/1962879.</w:t>
      </w:r>
    </w:p>
  </w:footnote>
  <w:footnote w:id="52">
    <w:p w14:paraId="7DFA0114" w14:textId="19109A2D" w:rsidR="00DC7F2D" w:rsidRPr="00DC7F2D" w:rsidRDefault="00DC7F2D">
      <w:pPr>
        <w:pStyle w:val="FootnoteText"/>
        <w:rPr>
          <w:lang w:val="en-GB"/>
        </w:rPr>
      </w:pPr>
      <w:r>
        <w:rPr>
          <w:rStyle w:val="FootnoteReference"/>
        </w:rPr>
        <w:footnoteRef/>
      </w:r>
      <w:r w:rsidRPr="00DC7F2D">
        <w:rPr>
          <w:lang w:val="en-GB"/>
        </w:rPr>
        <w:t xml:space="preserve"> Foucault, </w:t>
      </w:r>
      <w:r w:rsidRPr="00DC7F2D">
        <w:rPr>
          <w:i/>
          <w:iCs/>
          <w:lang w:val="en-GB"/>
        </w:rPr>
        <w:t>The Birth of Biopolitics</w:t>
      </w:r>
      <w:r w:rsidRPr="00DC7F2D">
        <w:rPr>
          <w:lang w:val="en-GB"/>
        </w:rPr>
        <w:t xml:space="preserve">, p. 321. See also </w:t>
      </w:r>
      <w:r w:rsidR="00E913F2" w:rsidRPr="00E913F2">
        <w:rPr>
          <w:lang w:val="en-GB"/>
        </w:rPr>
        <w:t xml:space="preserve">Dean and Zamora, </w:t>
      </w:r>
      <w:r w:rsidR="00E913F2" w:rsidRPr="008A1197">
        <w:rPr>
          <w:i/>
          <w:iCs/>
          <w:lang w:val="en-GB"/>
        </w:rPr>
        <w:t>The Last Man Takes LSD</w:t>
      </w:r>
      <w:r w:rsidRPr="00DC7F2D">
        <w:rPr>
          <w:lang w:val="en-GB"/>
        </w:rPr>
        <w:t>;</w:t>
      </w:r>
      <w:r w:rsidR="005D7BE0">
        <w:rPr>
          <w:lang w:val="en-GB"/>
        </w:rPr>
        <w:t xml:space="preserve"> </w:t>
      </w:r>
      <w:r w:rsidRPr="00DC7F2D">
        <w:rPr>
          <w:lang w:val="en-GB"/>
        </w:rPr>
        <w:t xml:space="preserve">Mark Pennington, </w:t>
      </w:r>
      <w:r w:rsidRPr="00DC7F2D">
        <w:rPr>
          <w:i/>
          <w:iCs/>
          <w:lang w:val="en-GB"/>
        </w:rPr>
        <w:t>Foucault and Liberal Political Economy: Power, Knowledge and Freedom</w:t>
      </w:r>
      <w:r w:rsidRPr="00DC7F2D">
        <w:rPr>
          <w:lang w:val="en-GB"/>
        </w:rPr>
        <w:t xml:space="preserve"> (</w:t>
      </w:r>
      <w:r w:rsidR="005F555C">
        <w:rPr>
          <w:lang w:val="en-GB"/>
        </w:rPr>
        <w:t xml:space="preserve">Oxford: </w:t>
      </w:r>
      <w:r w:rsidRPr="00DC7F2D">
        <w:rPr>
          <w:lang w:val="en-GB"/>
        </w:rPr>
        <w:t>Oxford University Press, 2025).</w:t>
      </w:r>
    </w:p>
  </w:footnote>
  <w:footnote w:id="53">
    <w:p w14:paraId="00E20481" w14:textId="7ED68D87" w:rsidR="00F807E6" w:rsidRPr="00F807E6" w:rsidRDefault="00F807E6">
      <w:pPr>
        <w:pStyle w:val="FootnoteText"/>
        <w:rPr>
          <w:lang w:val="en-GB"/>
        </w:rPr>
      </w:pPr>
      <w:r>
        <w:rPr>
          <w:rStyle w:val="FootnoteReference"/>
        </w:rPr>
        <w:footnoteRef/>
      </w:r>
      <w:r w:rsidRPr="00F807E6">
        <w:rPr>
          <w:lang w:val="en-GB"/>
        </w:rPr>
        <w:t xml:space="preserve"> Foucault, </w:t>
      </w:r>
      <w:r w:rsidRPr="00306981">
        <w:rPr>
          <w:i/>
          <w:iCs/>
          <w:lang w:val="en-GB"/>
        </w:rPr>
        <w:t>The Birth of Biopolitics</w:t>
      </w:r>
      <w:r w:rsidRPr="00F807E6">
        <w:rPr>
          <w:lang w:val="en-GB"/>
        </w:rPr>
        <w:t>, p. 2</w:t>
      </w:r>
      <w:r w:rsidR="00306981">
        <w:rPr>
          <w:lang w:val="en-GB"/>
        </w:rPr>
        <w:t>48-250</w:t>
      </w:r>
      <w:r w:rsidRPr="00F807E6">
        <w:rPr>
          <w:lang w:val="en-GB"/>
        </w:rPr>
        <w:t>.</w:t>
      </w:r>
    </w:p>
  </w:footnote>
  <w:footnote w:id="54">
    <w:p w14:paraId="738DC8E6" w14:textId="63D0E5AD" w:rsidR="00306981" w:rsidRPr="00306981" w:rsidRDefault="00306981">
      <w:pPr>
        <w:pStyle w:val="FootnoteText"/>
        <w:rPr>
          <w:lang w:val="en-GB"/>
        </w:rPr>
      </w:pPr>
      <w:r>
        <w:rPr>
          <w:rStyle w:val="FootnoteReference"/>
        </w:rPr>
        <w:footnoteRef/>
      </w:r>
      <w:r w:rsidRPr="00306981">
        <w:rPr>
          <w:lang w:val="en-GB"/>
        </w:rPr>
        <w:t xml:space="preserve"> </w:t>
      </w:r>
      <w:r w:rsidRPr="00F807E6">
        <w:rPr>
          <w:lang w:val="en-GB"/>
        </w:rPr>
        <w:t xml:space="preserve">Foucault, </w:t>
      </w:r>
      <w:r w:rsidRPr="00306981">
        <w:rPr>
          <w:i/>
          <w:iCs/>
          <w:lang w:val="en-GB"/>
        </w:rPr>
        <w:t>The Birth of Biopolitics</w:t>
      </w:r>
      <w:r w:rsidRPr="00306981">
        <w:rPr>
          <w:lang w:val="en-GB"/>
        </w:rPr>
        <w:t>, p. 260</w:t>
      </w:r>
      <w:r>
        <w:rPr>
          <w:lang w:val="en-GB"/>
        </w:rPr>
        <w:t>.</w:t>
      </w:r>
    </w:p>
  </w:footnote>
  <w:footnote w:id="55">
    <w:p w14:paraId="65A9EB4B" w14:textId="0358E0A5" w:rsidR="002754B5" w:rsidRPr="002754B5" w:rsidRDefault="002754B5">
      <w:pPr>
        <w:pStyle w:val="FootnoteText"/>
        <w:rPr>
          <w:lang w:val="en-GB"/>
        </w:rPr>
      </w:pPr>
      <w:r>
        <w:rPr>
          <w:rStyle w:val="FootnoteReference"/>
        </w:rPr>
        <w:footnoteRef/>
      </w:r>
      <w:r w:rsidRPr="002754B5">
        <w:rPr>
          <w:lang w:val="en-GB"/>
        </w:rPr>
        <w:t xml:space="preserve"> See also Foucault, </w:t>
      </w:r>
      <w:r w:rsidRPr="002754B5">
        <w:rPr>
          <w:i/>
          <w:iCs/>
          <w:lang w:val="en-GB"/>
        </w:rPr>
        <w:t>The Birth of Biopolitics</w:t>
      </w:r>
      <w:r w:rsidRPr="002754B5">
        <w:rPr>
          <w:lang w:val="en-GB"/>
        </w:rPr>
        <w:t xml:space="preserve">, p. 226; Nikolas Rose, </w:t>
      </w:r>
      <w:r w:rsidRPr="002754B5">
        <w:rPr>
          <w:i/>
          <w:iCs/>
          <w:lang w:val="en-GB"/>
        </w:rPr>
        <w:t>Powers of Freedom: Reframing Political Thought</w:t>
      </w:r>
      <w:r w:rsidRPr="002754B5">
        <w:rPr>
          <w:lang w:val="en-GB"/>
        </w:rPr>
        <w:t xml:space="preserve"> (</w:t>
      </w:r>
      <w:r w:rsidR="005F555C">
        <w:rPr>
          <w:lang w:val="en-GB"/>
        </w:rPr>
        <w:t xml:space="preserve">Cambridge: </w:t>
      </w:r>
      <w:r w:rsidRPr="002754B5">
        <w:rPr>
          <w:lang w:val="en-GB"/>
        </w:rPr>
        <w:t xml:space="preserve">Cambridge University Press, 1999); Wendy Brown, </w:t>
      </w:r>
      <w:r w:rsidRPr="002754B5">
        <w:rPr>
          <w:i/>
          <w:iCs/>
          <w:lang w:val="en-GB"/>
        </w:rPr>
        <w:t>Undoing the Demos: Neoliberalism’s Stealth Revolution</w:t>
      </w:r>
      <w:r w:rsidRPr="002754B5">
        <w:rPr>
          <w:lang w:val="en-GB"/>
        </w:rPr>
        <w:t xml:space="preserve"> (</w:t>
      </w:r>
      <w:r w:rsidR="00674D34">
        <w:rPr>
          <w:lang w:val="en-GB"/>
        </w:rPr>
        <w:t xml:space="preserve">New York: </w:t>
      </w:r>
      <w:r w:rsidRPr="002754B5">
        <w:rPr>
          <w:lang w:val="en-GB"/>
        </w:rPr>
        <w:t>Zone Books, 2015).</w:t>
      </w:r>
    </w:p>
  </w:footnote>
  <w:footnote w:id="56">
    <w:p w14:paraId="6B28BB20" w14:textId="3F6841DB" w:rsidR="00585334" w:rsidRPr="00585334" w:rsidRDefault="00585334" w:rsidP="00585334">
      <w:pPr>
        <w:pStyle w:val="FootnoteText"/>
        <w:rPr>
          <w:lang w:val="en-GB"/>
        </w:rPr>
      </w:pPr>
      <w:r>
        <w:rPr>
          <w:rStyle w:val="FootnoteReference"/>
        </w:rPr>
        <w:footnoteRef/>
      </w:r>
      <w:r w:rsidRPr="00585334">
        <w:rPr>
          <w:lang w:val="en-GB"/>
        </w:rPr>
        <w:t xml:space="preserve"> James Miller, </w:t>
      </w:r>
      <w:r w:rsidRPr="00585334">
        <w:rPr>
          <w:i/>
          <w:iCs/>
          <w:lang w:val="en-GB"/>
        </w:rPr>
        <w:t>The Passion of Michel Foucault</w:t>
      </w:r>
      <w:r w:rsidRPr="00585334">
        <w:rPr>
          <w:lang w:val="en-GB"/>
        </w:rPr>
        <w:t xml:space="preserve"> (</w:t>
      </w:r>
      <w:r w:rsidR="00674D34">
        <w:rPr>
          <w:lang w:val="en-GB"/>
        </w:rPr>
        <w:t xml:space="preserve">New York: </w:t>
      </w:r>
      <w:r w:rsidRPr="00585334">
        <w:rPr>
          <w:lang w:val="en-GB"/>
        </w:rPr>
        <w:t>Simon &amp; Schuster, 1993).</w:t>
      </w:r>
    </w:p>
  </w:footnote>
  <w:footnote w:id="57">
    <w:p w14:paraId="47907BD7" w14:textId="1A79BADC" w:rsidR="00E33CE4" w:rsidRPr="00E33CE4" w:rsidRDefault="00E33CE4">
      <w:pPr>
        <w:pStyle w:val="FootnoteText"/>
        <w:rPr>
          <w:lang w:val="en-GB"/>
        </w:rPr>
      </w:pPr>
      <w:r>
        <w:rPr>
          <w:rStyle w:val="FootnoteReference"/>
        </w:rPr>
        <w:footnoteRef/>
      </w:r>
      <w:r w:rsidRPr="00E33CE4">
        <w:rPr>
          <w:lang w:val="en-GB"/>
        </w:rPr>
        <w:t xml:space="preserve"> Foucault, </w:t>
      </w:r>
      <w:r w:rsidRPr="00E33CE4">
        <w:rPr>
          <w:i/>
          <w:iCs/>
          <w:lang w:val="en-GB"/>
        </w:rPr>
        <w:t>The History of Sexuality, Vol. 3: The Care of the Self</w:t>
      </w:r>
      <w:r w:rsidRPr="00E33CE4">
        <w:rPr>
          <w:lang w:val="en-GB"/>
        </w:rPr>
        <w:t xml:space="preserve"> (</w:t>
      </w:r>
      <w:r w:rsidR="00674D34">
        <w:rPr>
          <w:lang w:val="en-GB"/>
        </w:rPr>
        <w:t xml:space="preserve">New York: </w:t>
      </w:r>
      <w:r w:rsidRPr="00E33CE4">
        <w:rPr>
          <w:lang w:val="en-GB"/>
        </w:rPr>
        <w:t>Pantheon Books, 1986).</w:t>
      </w:r>
    </w:p>
  </w:footnote>
  <w:footnote w:id="58">
    <w:p w14:paraId="07CB51DD" w14:textId="4B0244D1" w:rsidR="00E33CE4" w:rsidRPr="00E33CE4" w:rsidRDefault="00E33CE4">
      <w:pPr>
        <w:pStyle w:val="FootnoteText"/>
        <w:rPr>
          <w:lang w:val="en-GB"/>
        </w:rPr>
      </w:pPr>
      <w:r>
        <w:rPr>
          <w:rStyle w:val="FootnoteReference"/>
        </w:rPr>
        <w:footnoteRef/>
      </w:r>
      <w:r w:rsidRPr="00E33CE4">
        <w:rPr>
          <w:lang w:val="en-GB"/>
        </w:rPr>
        <w:t xml:space="preserve"> Foucault, </w:t>
      </w:r>
      <w:r w:rsidRPr="00E33CE4">
        <w:rPr>
          <w:i/>
          <w:iCs/>
          <w:lang w:val="en-GB"/>
        </w:rPr>
        <w:t>Language, Counter-Memory, Practice</w:t>
      </w:r>
      <w:r w:rsidRPr="00E33CE4">
        <w:rPr>
          <w:lang w:val="en-GB"/>
        </w:rPr>
        <w:t>.</w:t>
      </w:r>
    </w:p>
  </w:footnote>
  <w:footnote w:id="59">
    <w:p w14:paraId="2BB7604B" w14:textId="497050CD" w:rsidR="00256BAE" w:rsidRPr="00256BAE" w:rsidRDefault="00256BAE">
      <w:pPr>
        <w:pStyle w:val="FootnoteText"/>
        <w:rPr>
          <w:lang w:val="en-GB"/>
        </w:rPr>
      </w:pPr>
      <w:r>
        <w:rPr>
          <w:rStyle w:val="FootnoteReference"/>
        </w:rPr>
        <w:footnoteRef/>
      </w:r>
      <w:r w:rsidRPr="00256BAE">
        <w:rPr>
          <w:lang w:val="en-GB"/>
        </w:rPr>
        <w:t xml:space="preserve"> Janet </w:t>
      </w:r>
      <w:proofErr w:type="spellStart"/>
      <w:r w:rsidRPr="00256BAE">
        <w:rPr>
          <w:lang w:val="en-GB"/>
        </w:rPr>
        <w:t>Afary</w:t>
      </w:r>
      <w:proofErr w:type="spellEnd"/>
      <w:r w:rsidRPr="00256BAE">
        <w:rPr>
          <w:lang w:val="en-GB"/>
        </w:rPr>
        <w:t xml:space="preserve"> and Kevin B. Anderson, </w:t>
      </w:r>
      <w:r w:rsidRPr="00256BAE">
        <w:rPr>
          <w:i/>
          <w:iCs/>
          <w:lang w:val="en-GB"/>
        </w:rPr>
        <w:t>Foucault and the Iranian Revolution: Gender and the Seductions of Islamism</w:t>
      </w:r>
      <w:r w:rsidRPr="00256BAE">
        <w:rPr>
          <w:lang w:val="en-GB"/>
        </w:rPr>
        <w:t xml:space="preserve"> (</w:t>
      </w:r>
      <w:r w:rsidR="006C7739">
        <w:rPr>
          <w:lang w:val="en-GB"/>
        </w:rPr>
        <w:t xml:space="preserve">Chicago: </w:t>
      </w:r>
      <w:r w:rsidRPr="00256BAE">
        <w:rPr>
          <w:lang w:val="en-GB"/>
        </w:rPr>
        <w:t>University of Chicago Press, 2005).</w:t>
      </w:r>
    </w:p>
  </w:footnote>
  <w:footnote w:id="60">
    <w:p w14:paraId="70AB97D9" w14:textId="5109DF8A" w:rsidR="008A5646" w:rsidRPr="008A5646" w:rsidRDefault="008A5646">
      <w:pPr>
        <w:pStyle w:val="FootnoteText"/>
        <w:rPr>
          <w:lang w:val="en-GB"/>
        </w:rPr>
      </w:pPr>
      <w:r>
        <w:rPr>
          <w:rStyle w:val="FootnoteReference"/>
        </w:rPr>
        <w:footnoteRef/>
      </w:r>
      <w:r w:rsidRPr="008A5646">
        <w:rPr>
          <w:lang w:val="en-GB"/>
        </w:rPr>
        <w:t xml:space="preserve"> Dean and Zamora, </w:t>
      </w:r>
      <w:r w:rsidRPr="008A5646">
        <w:rPr>
          <w:i/>
          <w:iCs/>
          <w:lang w:val="en-GB"/>
        </w:rPr>
        <w:t>The Last Man Takes LSD</w:t>
      </w:r>
      <w:r w:rsidRPr="008A5646">
        <w:rPr>
          <w:lang w:val="en-GB"/>
        </w:rPr>
        <w:t>.</w:t>
      </w:r>
    </w:p>
  </w:footnote>
  <w:footnote w:id="61">
    <w:p w14:paraId="64CFD711" w14:textId="3312DCB2" w:rsidR="008A5646" w:rsidRPr="008A5646" w:rsidRDefault="008A5646">
      <w:pPr>
        <w:pStyle w:val="FootnoteText"/>
        <w:rPr>
          <w:lang w:val="en-GB"/>
        </w:rPr>
      </w:pPr>
      <w:r>
        <w:rPr>
          <w:rStyle w:val="FootnoteReference"/>
        </w:rPr>
        <w:footnoteRef/>
      </w:r>
      <w:r w:rsidRPr="008A5646">
        <w:rPr>
          <w:lang w:val="en-GB"/>
        </w:rPr>
        <w:t xml:space="preserve"> Foucault, 'The Subject and Power', </w:t>
      </w:r>
      <w:r w:rsidRPr="008A5646">
        <w:rPr>
          <w:i/>
          <w:iCs/>
          <w:lang w:val="en-GB"/>
        </w:rPr>
        <w:t>Critical Inquiry</w:t>
      </w:r>
      <w:r w:rsidRPr="008A5646">
        <w:rPr>
          <w:lang w:val="en-GB"/>
        </w:rPr>
        <w:t>, 8.4 (1982), 777–795 (p. 782)</w:t>
      </w:r>
      <w:r w:rsidR="001671BD">
        <w:rPr>
          <w:lang w:val="en-GB"/>
        </w:rPr>
        <w:t xml:space="preserve">, </w:t>
      </w:r>
      <w:proofErr w:type="spellStart"/>
      <w:r w:rsidR="001671BD" w:rsidRPr="001671BD">
        <w:rPr>
          <w:lang w:val="en-GB"/>
        </w:rPr>
        <w:t>doi</w:t>
      </w:r>
      <w:proofErr w:type="spellEnd"/>
      <w:r w:rsidR="001671BD" w:rsidRPr="001671BD">
        <w:rPr>
          <w:lang w:val="en-GB"/>
        </w:rPr>
        <w:t>: 10.1086/448181</w:t>
      </w:r>
      <w:r w:rsidRPr="008A5646">
        <w:rPr>
          <w:lang w:val="en-GB"/>
        </w:rPr>
        <w:t>.</w:t>
      </w:r>
    </w:p>
  </w:footnote>
  <w:footnote w:id="62">
    <w:p w14:paraId="05922A2C" w14:textId="0CF1B103" w:rsidR="00B43BE4" w:rsidRPr="00F15FAC" w:rsidRDefault="00B43BE4">
      <w:pPr>
        <w:pStyle w:val="FootnoteText"/>
        <w:rPr>
          <w:lang w:val="en-US"/>
        </w:rPr>
      </w:pPr>
      <w:r>
        <w:rPr>
          <w:rStyle w:val="FootnoteReference"/>
        </w:rPr>
        <w:footnoteRef/>
      </w:r>
      <w:r w:rsidRPr="00F15FAC">
        <w:rPr>
          <w:lang w:val="en-US"/>
        </w:rPr>
        <w:t xml:space="preserve"> </w:t>
      </w:r>
      <w:r w:rsidRPr="00B43BE4">
        <w:rPr>
          <w:lang w:val="en-US"/>
        </w:rPr>
        <w:t xml:space="preserve">Mark Pennington, </w:t>
      </w:r>
      <w:r w:rsidRPr="00F15FAC">
        <w:rPr>
          <w:i/>
          <w:iCs/>
          <w:lang w:val="en-US"/>
        </w:rPr>
        <w:t>Foucault and Liberal Political Economy: Power, Knowledge and Freedom</w:t>
      </w:r>
      <w:r w:rsidRPr="00B43BE4">
        <w:rPr>
          <w:lang w:val="en-US"/>
        </w:rPr>
        <w:t>.</w:t>
      </w:r>
    </w:p>
  </w:footnote>
  <w:footnote w:id="63">
    <w:p w14:paraId="1D3A02A8" w14:textId="66FA75F0" w:rsidR="00C17F00" w:rsidRPr="00C17F00" w:rsidRDefault="00C17F00">
      <w:pPr>
        <w:pStyle w:val="FootnoteText"/>
        <w:rPr>
          <w:lang w:val="en-GB"/>
        </w:rPr>
      </w:pPr>
      <w:r>
        <w:rPr>
          <w:rStyle w:val="FootnoteReference"/>
        </w:rPr>
        <w:footnoteRef/>
      </w:r>
      <w:r w:rsidRPr="00C17F00">
        <w:rPr>
          <w:lang w:val="en-GB"/>
        </w:rPr>
        <w:t xml:space="preserve"> Foucault, 'The Subject and Power', p. 785.</w:t>
      </w:r>
    </w:p>
  </w:footnote>
  <w:footnote w:id="64">
    <w:p w14:paraId="4D959D69" w14:textId="08A59767" w:rsidR="00C17F00" w:rsidRPr="00C17F00" w:rsidRDefault="00C17F00">
      <w:pPr>
        <w:pStyle w:val="FootnoteText"/>
        <w:rPr>
          <w:lang w:val="en-GB"/>
        </w:rPr>
      </w:pPr>
      <w:r>
        <w:rPr>
          <w:rStyle w:val="FootnoteReference"/>
        </w:rPr>
        <w:footnoteRef/>
      </w:r>
      <w:r w:rsidRPr="00C17F00">
        <w:rPr>
          <w:lang w:val="en-GB"/>
        </w:rPr>
        <w:t xml:space="preserve"> Michel Foucault, 'What is Enlightenment?', in </w:t>
      </w:r>
      <w:r w:rsidRPr="00C17F00">
        <w:rPr>
          <w:i/>
          <w:iCs/>
          <w:lang w:val="en-GB"/>
        </w:rPr>
        <w:t>The Foucault Reader</w:t>
      </w:r>
      <w:r w:rsidRPr="00C17F00">
        <w:rPr>
          <w:lang w:val="en-GB"/>
        </w:rPr>
        <w:t>, ed. by Paul Rabinow (Pantheon Books, 1984), pp. 32–50.</w:t>
      </w:r>
    </w:p>
  </w:footnote>
  <w:footnote w:id="65">
    <w:p w14:paraId="44AD3A29" w14:textId="722546B0" w:rsidR="00632672" w:rsidRPr="00632672" w:rsidRDefault="00632672">
      <w:pPr>
        <w:pStyle w:val="FootnoteText"/>
        <w:rPr>
          <w:lang w:val="en-GB"/>
        </w:rPr>
      </w:pPr>
      <w:r>
        <w:rPr>
          <w:rStyle w:val="FootnoteReference"/>
        </w:rPr>
        <w:footnoteRef/>
      </w:r>
      <w:r w:rsidRPr="00632672">
        <w:rPr>
          <w:lang w:val="en-GB"/>
        </w:rPr>
        <w:t xml:space="preserve"> Judith Butler, 'What is Critique? An Essay on </w:t>
      </w:r>
      <w:r w:rsidR="00394163" w:rsidRPr="00394163">
        <w:rPr>
          <w:lang w:val="en-GB"/>
        </w:rPr>
        <w:t>Foucault’s</w:t>
      </w:r>
      <w:r w:rsidRPr="00632672">
        <w:rPr>
          <w:lang w:val="en-GB"/>
        </w:rPr>
        <w:t xml:space="preserve"> Virtue', in </w:t>
      </w:r>
      <w:r w:rsidRPr="00632672">
        <w:rPr>
          <w:i/>
          <w:iCs/>
          <w:lang w:val="en-GB"/>
        </w:rPr>
        <w:t>The Political: Readings in Continental Philosophy</w:t>
      </w:r>
      <w:r w:rsidRPr="00632672">
        <w:rPr>
          <w:lang w:val="en-GB"/>
        </w:rPr>
        <w:t xml:space="preserve">, ed. by David Ingram (Blackwell, 2002), pp. 212–228. See also Colin Koopman, </w:t>
      </w:r>
      <w:r w:rsidRPr="00632672">
        <w:rPr>
          <w:i/>
          <w:iCs/>
          <w:lang w:val="en-GB"/>
        </w:rPr>
        <w:t>Genealogy as Critique: Foucault and the Problems of Modernity</w:t>
      </w:r>
      <w:r w:rsidRPr="00632672">
        <w:rPr>
          <w:lang w:val="en-GB"/>
        </w:rPr>
        <w:t xml:space="preserve"> (</w:t>
      </w:r>
      <w:r w:rsidR="006C7739">
        <w:rPr>
          <w:lang w:val="en-GB"/>
        </w:rPr>
        <w:t xml:space="preserve">Bloomington: </w:t>
      </w:r>
      <w:r w:rsidRPr="00632672">
        <w:rPr>
          <w:lang w:val="en-GB"/>
        </w:rPr>
        <w:t>Indiana University Press, 2013).</w:t>
      </w:r>
    </w:p>
  </w:footnote>
  <w:footnote w:id="66">
    <w:p w14:paraId="1EF07972" w14:textId="663576D3" w:rsidR="00B7163B" w:rsidRPr="00B7163B" w:rsidRDefault="00B7163B">
      <w:pPr>
        <w:pStyle w:val="FootnoteText"/>
        <w:rPr>
          <w:lang w:val="en-GB"/>
        </w:rPr>
      </w:pPr>
      <w:r>
        <w:rPr>
          <w:rStyle w:val="FootnoteReference"/>
        </w:rPr>
        <w:footnoteRef/>
      </w:r>
      <w:r w:rsidRPr="00B7163B">
        <w:rPr>
          <w:lang w:val="en-GB"/>
        </w:rPr>
        <w:t xml:space="preserve"> Foucault, 'What is Enlightenment?', p. 46; </w:t>
      </w:r>
      <w:proofErr w:type="spellStart"/>
      <w:r w:rsidRPr="00B7163B">
        <w:rPr>
          <w:lang w:val="en-GB"/>
        </w:rPr>
        <w:t>Tiisala</w:t>
      </w:r>
      <w:proofErr w:type="spellEnd"/>
      <w:r w:rsidRPr="00B7163B">
        <w:rPr>
          <w:lang w:val="en-GB"/>
        </w:rPr>
        <w:t xml:space="preserve">, </w:t>
      </w:r>
      <w:r w:rsidRPr="00B7163B">
        <w:rPr>
          <w:i/>
          <w:iCs/>
          <w:lang w:val="en-GB"/>
        </w:rPr>
        <w:t>Power and Freedom in the Space of Reasons</w:t>
      </w:r>
      <w:r w:rsidRPr="00B7163B">
        <w:rPr>
          <w:lang w:val="en-GB"/>
        </w:rPr>
        <w:t>.</w:t>
      </w:r>
    </w:p>
  </w:footnote>
  <w:footnote w:id="67">
    <w:p w14:paraId="10C5C39D" w14:textId="7087A417" w:rsidR="00B7163B" w:rsidRPr="00B7163B" w:rsidRDefault="00B7163B">
      <w:pPr>
        <w:pStyle w:val="FootnoteText"/>
        <w:rPr>
          <w:lang w:val="en-GB"/>
        </w:rPr>
      </w:pPr>
      <w:r>
        <w:rPr>
          <w:rStyle w:val="FootnoteReference"/>
        </w:rPr>
        <w:footnoteRef/>
      </w:r>
      <w:r w:rsidRPr="00B7163B">
        <w:rPr>
          <w:lang w:val="en-GB"/>
        </w:rPr>
        <w:t xml:space="preserve"> Foucault, 'What is Enlightenment?', p. 46</w:t>
      </w:r>
      <w:r>
        <w:rPr>
          <w:lang w:val="en-GB"/>
        </w:rPr>
        <w:t>.</w:t>
      </w:r>
    </w:p>
  </w:footnote>
  <w:footnote w:id="68">
    <w:p w14:paraId="5D64F8A0" w14:textId="64AE444E" w:rsidR="00306157" w:rsidRPr="00306157" w:rsidRDefault="00306157">
      <w:pPr>
        <w:pStyle w:val="FootnoteText"/>
        <w:rPr>
          <w:lang w:val="en-GB"/>
        </w:rPr>
      </w:pPr>
      <w:r>
        <w:rPr>
          <w:rStyle w:val="FootnoteReference"/>
        </w:rPr>
        <w:footnoteRef/>
      </w:r>
      <w:r w:rsidRPr="00306157">
        <w:rPr>
          <w:lang w:val="en-GB"/>
        </w:rPr>
        <w:t xml:space="preserve"> Dean and Zamora, </w:t>
      </w:r>
      <w:r w:rsidRPr="00306157">
        <w:rPr>
          <w:i/>
          <w:iCs/>
          <w:lang w:val="en-GB"/>
        </w:rPr>
        <w:t>The Last Man Takes LSD</w:t>
      </w:r>
      <w:r w:rsidRPr="00306157">
        <w:rPr>
          <w:lang w:val="en-GB"/>
        </w:rPr>
        <w:t>.</w:t>
      </w:r>
    </w:p>
  </w:footnote>
  <w:footnote w:id="69">
    <w:p w14:paraId="3BB001C5" w14:textId="447D6175" w:rsidR="00C61353" w:rsidRPr="00C61353" w:rsidRDefault="00C61353">
      <w:pPr>
        <w:pStyle w:val="FootnoteText"/>
        <w:rPr>
          <w:lang w:val="en-GB"/>
        </w:rPr>
      </w:pPr>
      <w:r>
        <w:rPr>
          <w:rStyle w:val="FootnoteReference"/>
        </w:rPr>
        <w:footnoteRef/>
      </w:r>
      <w:r w:rsidRPr="00C61353">
        <w:rPr>
          <w:lang w:val="en-GB"/>
        </w:rPr>
        <w:t xml:space="preserve"> </w:t>
      </w:r>
      <w:r w:rsidR="008A1197" w:rsidRPr="008A1197">
        <w:rPr>
          <w:lang w:val="en-GB"/>
        </w:rPr>
        <w:t xml:space="preserve">Scott, </w:t>
      </w:r>
      <w:r w:rsidR="008A1197" w:rsidRPr="008A1197">
        <w:rPr>
          <w:i/>
          <w:iCs/>
          <w:lang w:val="en-GB"/>
        </w:rPr>
        <w:t>The Art of Not Being Governed</w:t>
      </w:r>
      <w:r w:rsidR="008A1197">
        <w:rPr>
          <w:lang w:val="en-GB"/>
        </w:rPr>
        <w:t>.</w:t>
      </w:r>
    </w:p>
  </w:footnote>
  <w:footnote w:id="70">
    <w:p w14:paraId="6DEB6946" w14:textId="4756A157" w:rsidR="00AD0AF0" w:rsidRPr="00AD0AF0" w:rsidRDefault="00AD0AF0">
      <w:pPr>
        <w:pStyle w:val="FootnoteText"/>
        <w:rPr>
          <w:lang w:val="en-GB"/>
        </w:rPr>
      </w:pPr>
      <w:r>
        <w:rPr>
          <w:rStyle w:val="FootnoteReference"/>
        </w:rPr>
        <w:footnoteRef/>
      </w:r>
      <w:r w:rsidRPr="00AD0AF0">
        <w:rPr>
          <w:lang w:val="en-GB"/>
        </w:rPr>
        <w:t xml:space="preserve"> Foucault, 'The Subject and Power', p. 780.</w:t>
      </w:r>
    </w:p>
  </w:footnote>
  <w:footnote w:id="71">
    <w:p w14:paraId="358ABF7E" w14:textId="78C4B657" w:rsidR="001A29B8" w:rsidRPr="001A29B8" w:rsidRDefault="001A29B8">
      <w:pPr>
        <w:pStyle w:val="FootnoteText"/>
        <w:rPr>
          <w:lang w:val="en-GB"/>
        </w:rPr>
      </w:pPr>
      <w:r>
        <w:rPr>
          <w:rStyle w:val="FootnoteReference"/>
        </w:rPr>
        <w:footnoteRef/>
      </w:r>
      <w:r w:rsidRPr="001A29B8">
        <w:rPr>
          <w:lang w:val="en-GB"/>
        </w:rPr>
        <w:t xml:space="preserve"> Foucault, 'The Subject and Power', p. 780. See also Otto Lehto and Kaveh Pourvand, 'Interstitial Dynamism in the Open Society', </w:t>
      </w:r>
      <w:r w:rsidRPr="001A29B8">
        <w:rPr>
          <w:i/>
          <w:iCs/>
          <w:lang w:val="en-GB"/>
        </w:rPr>
        <w:t>Constellations</w:t>
      </w:r>
      <w:r w:rsidRPr="001A29B8">
        <w:rPr>
          <w:lang w:val="en-GB"/>
        </w:rPr>
        <w:t xml:space="preserve">, Online First (2025), </w:t>
      </w:r>
      <w:proofErr w:type="spellStart"/>
      <w:r w:rsidR="00325F5C">
        <w:rPr>
          <w:lang w:val="en-GB"/>
        </w:rPr>
        <w:t>doi</w:t>
      </w:r>
      <w:proofErr w:type="spellEnd"/>
      <w:r w:rsidR="00325F5C">
        <w:rPr>
          <w:lang w:val="en-GB"/>
        </w:rPr>
        <w:t>:</w:t>
      </w:r>
      <w:r w:rsidRPr="001A29B8">
        <w:rPr>
          <w:lang w:val="en-GB"/>
        </w:rPr>
        <w:t xml:space="preserve"> 10.1111/1467-8675.70005.</w:t>
      </w:r>
    </w:p>
  </w:footnote>
  <w:footnote w:id="72">
    <w:p w14:paraId="7EC344A0" w14:textId="60478DC5" w:rsidR="00235792" w:rsidRPr="00235792" w:rsidRDefault="00235792">
      <w:pPr>
        <w:pStyle w:val="FootnoteText"/>
        <w:rPr>
          <w:lang w:val="en-GB"/>
        </w:rPr>
      </w:pPr>
      <w:r>
        <w:rPr>
          <w:rStyle w:val="FootnoteReference"/>
        </w:rPr>
        <w:footnoteRef/>
      </w:r>
      <w:r w:rsidRPr="00235792">
        <w:rPr>
          <w:lang w:val="en-GB"/>
        </w:rPr>
        <w:t xml:space="preserve"> Foucault, 'The Subject and Power', p. 790.</w:t>
      </w:r>
    </w:p>
  </w:footnote>
  <w:footnote w:id="73">
    <w:p w14:paraId="70A5C7FB" w14:textId="3DB6A83D" w:rsidR="00710DF4" w:rsidRPr="00710DF4" w:rsidRDefault="00710DF4">
      <w:pPr>
        <w:pStyle w:val="FootnoteText"/>
        <w:rPr>
          <w:lang w:val="en-GB"/>
        </w:rPr>
      </w:pPr>
      <w:r>
        <w:rPr>
          <w:rStyle w:val="FootnoteReference"/>
        </w:rPr>
        <w:footnoteRef/>
      </w:r>
      <w:r w:rsidRPr="00710DF4">
        <w:rPr>
          <w:lang w:val="en-GB"/>
        </w:rPr>
        <w:t xml:space="preserve"> Foucault, 'The Subject and Power', p. 790.</w:t>
      </w:r>
    </w:p>
  </w:footnote>
  <w:footnote w:id="74">
    <w:p w14:paraId="1DF0121F" w14:textId="37EA3D31" w:rsidR="002949F3" w:rsidRPr="00F15FAC" w:rsidRDefault="002949F3">
      <w:pPr>
        <w:pStyle w:val="FootnoteText"/>
        <w:rPr>
          <w:lang w:val="en-US"/>
        </w:rPr>
      </w:pPr>
      <w:r>
        <w:rPr>
          <w:rStyle w:val="FootnoteReference"/>
        </w:rPr>
        <w:footnoteRef/>
      </w:r>
      <w:r w:rsidRPr="00F15FAC">
        <w:rPr>
          <w:lang w:val="en-US"/>
        </w:rPr>
        <w:t xml:space="preserve"> </w:t>
      </w:r>
      <w:r w:rsidRPr="002949F3">
        <w:rPr>
          <w:lang w:val="en-US"/>
        </w:rPr>
        <w:t xml:space="preserve">Foucault, </w:t>
      </w:r>
      <w:r w:rsidRPr="00F15FAC">
        <w:rPr>
          <w:i/>
          <w:iCs/>
          <w:lang w:val="en-US"/>
        </w:rPr>
        <w:t>The Birth of Biopolitics</w:t>
      </w:r>
      <w:r>
        <w:rPr>
          <w:lang w:val="en-US"/>
        </w:rPr>
        <w:t>, pp.</w:t>
      </w:r>
      <w:r w:rsidRPr="002949F3">
        <w:rPr>
          <w:lang w:val="en-US"/>
        </w:rPr>
        <w:t xml:space="preserve"> 225–226</w:t>
      </w:r>
      <w:r>
        <w:rPr>
          <w:lang w:val="en-US"/>
        </w:rPr>
        <w:t>.</w:t>
      </w:r>
    </w:p>
  </w:footnote>
  <w:footnote w:id="75">
    <w:p w14:paraId="5235BBD8" w14:textId="0E8F0F94" w:rsidR="00710DF4" w:rsidRPr="00710DF4" w:rsidRDefault="00710DF4">
      <w:pPr>
        <w:pStyle w:val="FootnoteText"/>
        <w:rPr>
          <w:lang w:val="en-GB"/>
        </w:rPr>
      </w:pPr>
      <w:r>
        <w:rPr>
          <w:rStyle w:val="FootnoteReference"/>
        </w:rPr>
        <w:footnoteRef/>
      </w:r>
      <w:r w:rsidRPr="00710DF4">
        <w:rPr>
          <w:lang w:val="en-GB"/>
        </w:rPr>
        <w:t xml:space="preserve"> </w:t>
      </w:r>
      <w:r w:rsidR="00F33D6C" w:rsidRPr="00F33D6C">
        <w:rPr>
          <w:lang w:val="en-GB"/>
        </w:rPr>
        <w:t>Michel Foucault, 'The Ethics of the Concern for Self as a Practice of Freedom'</w:t>
      </w:r>
      <w:r w:rsidR="00F33D6C">
        <w:rPr>
          <w:lang w:val="en-GB"/>
        </w:rPr>
        <w:t xml:space="preserve"> [often translated as “The Ethic of the Care of the Self…”]</w:t>
      </w:r>
      <w:r w:rsidR="00F33D6C" w:rsidRPr="00F33D6C">
        <w:rPr>
          <w:lang w:val="en-GB"/>
        </w:rPr>
        <w:t>,</w:t>
      </w:r>
      <w:r w:rsidR="00F33D6C">
        <w:rPr>
          <w:lang w:val="en-GB"/>
        </w:rPr>
        <w:t xml:space="preserve"> in </w:t>
      </w:r>
      <w:r w:rsidR="00250E3D" w:rsidRPr="00250E3D">
        <w:rPr>
          <w:i/>
          <w:iCs/>
          <w:lang w:val="en-GB"/>
        </w:rPr>
        <w:t>Ethics: Subjectivity and Truth</w:t>
      </w:r>
      <w:r w:rsidR="00250E3D" w:rsidRPr="00250E3D">
        <w:rPr>
          <w:lang w:val="en-GB"/>
        </w:rPr>
        <w:t>, p. 298</w:t>
      </w:r>
      <w:r w:rsidRPr="00710DF4">
        <w:rPr>
          <w:lang w:val="en-GB"/>
        </w:rPr>
        <w:t>.</w:t>
      </w:r>
    </w:p>
  </w:footnote>
  <w:footnote w:id="76">
    <w:p w14:paraId="40118707" w14:textId="0A084530" w:rsidR="006C1444" w:rsidRPr="006C1444" w:rsidRDefault="006C1444">
      <w:pPr>
        <w:pStyle w:val="FootnoteText"/>
        <w:rPr>
          <w:lang w:val="en-GB"/>
        </w:rPr>
      </w:pPr>
      <w:r>
        <w:rPr>
          <w:rStyle w:val="FootnoteReference"/>
        </w:rPr>
        <w:footnoteRef/>
      </w:r>
      <w:r w:rsidRPr="006C1444">
        <w:rPr>
          <w:lang w:val="en-GB"/>
        </w:rPr>
        <w:t xml:space="preserve"> Foucault, 'The Subject and Power', p. 790.</w:t>
      </w:r>
    </w:p>
  </w:footnote>
  <w:footnote w:id="77">
    <w:p w14:paraId="03DD72B8" w14:textId="2DA685D2" w:rsidR="006C1444" w:rsidRPr="006C1444" w:rsidRDefault="006C1444">
      <w:pPr>
        <w:pStyle w:val="FootnoteText"/>
        <w:rPr>
          <w:lang w:val="en-GB"/>
        </w:rPr>
      </w:pPr>
      <w:r>
        <w:rPr>
          <w:rStyle w:val="FootnoteReference"/>
        </w:rPr>
        <w:footnoteRef/>
      </w:r>
      <w:r w:rsidRPr="006C1444">
        <w:rPr>
          <w:lang w:val="en-GB"/>
        </w:rPr>
        <w:t xml:space="preserve"> Foucault, 'The Subject and Power', p. 790.</w:t>
      </w:r>
    </w:p>
  </w:footnote>
  <w:footnote w:id="78">
    <w:p w14:paraId="73BF969D" w14:textId="62043537" w:rsidR="006C1444" w:rsidRPr="006C1444" w:rsidRDefault="006C1444">
      <w:pPr>
        <w:pStyle w:val="FootnoteText"/>
        <w:rPr>
          <w:lang w:val="en-GB"/>
        </w:rPr>
      </w:pPr>
      <w:r>
        <w:rPr>
          <w:rStyle w:val="FootnoteReference"/>
        </w:rPr>
        <w:footnoteRef/>
      </w:r>
      <w:r w:rsidRPr="006C1444">
        <w:rPr>
          <w:lang w:val="en-GB"/>
        </w:rPr>
        <w:t xml:space="preserve"> Michel Foucault, 'What is Critique?', in </w:t>
      </w:r>
      <w:r w:rsidRPr="006C1444">
        <w:rPr>
          <w:i/>
          <w:iCs/>
          <w:lang w:val="en-GB"/>
        </w:rPr>
        <w:t>The Politics of Truth</w:t>
      </w:r>
      <w:r w:rsidRPr="006C1444">
        <w:rPr>
          <w:lang w:val="en-GB"/>
        </w:rPr>
        <w:t xml:space="preserve">, ed. by </w:t>
      </w:r>
      <w:proofErr w:type="spellStart"/>
      <w:r w:rsidRPr="006C1444">
        <w:rPr>
          <w:lang w:val="en-GB"/>
        </w:rPr>
        <w:t>Sylvère</w:t>
      </w:r>
      <w:proofErr w:type="spellEnd"/>
      <w:r w:rsidRPr="006C1444">
        <w:rPr>
          <w:lang w:val="en-GB"/>
        </w:rPr>
        <w:t xml:space="preserve"> </w:t>
      </w:r>
      <w:proofErr w:type="spellStart"/>
      <w:r w:rsidRPr="006C1444">
        <w:rPr>
          <w:lang w:val="en-GB"/>
        </w:rPr>
        <w:t>Lotringer</w:t>
      </w:r>
      <w:proofErr w:type="spellEnd"/>
      <w:r w:rsidRPr="006C1444">
        <w:rPr>
          <w:lang w:val="en-GB"/>
        </w:rPr>
        <w:t xml:space="preserve"> (</w:t>
      </w:r>
      <w:proofErr w:type="spellStart"/>
      <w:r w:rsidRPr="006C1444">
        <w:rPr>
          <w:lang w:val="en-GB"/>
        </w:rPr>
        <w:t>Semiotext</w:t>
      </w:r>
      <w:proofErr w:type="spellEnd"/>
      <w:r w:rsidRPr="006C1444">
        <w:rPr>
          <w:lang w:val="en-GB"/>
        </w:rPr>
        <w:t>(e), 2007), pp. 41–81 (p. 45).</w:t>
      </w:r>
    </w:p>
  </w:footnote>
  <w:footnote w:id="79">
    <w:p w14:paraId="2542B4E3" w14:textId="55A42416" w:rsidR="0023032F" w:rsidRPr="0023032F" w:rsidRDefault="0023032F">
      <w:pPr>
        <w:pStyle w:val="FootnoteText"/>
        <w:rPr>
          <w:lang w:val="en-GB"/>
        </w:rPr>
      </w:pPr>
      <w:r>
        <w:rPr>
          <w:rStyle w:val="FootnoteReference"/>
        </w:rPr>
        <w:footnoteRef/>
      </w:r>
      <w:r w:rsidRPr="0023032F">
        <w:rPr>
          <w:lang w:val="en-GB"/>
        </w:rPr>
        <w:t xml:space="preserve"> Foucault, </w:t>
      </w:r>
      <w:r w:rsidRPr="0023032F">
        <w:rPr>
          <w:i/>
          <w:iCs/>
          <w:lang w:val="en-GB"/>
        </w:rPr>
        <w:t>Security, Territory, Population</w:t>
      </w:r>
      <w:r w:rsidRPr="0023032F">
        <w:rPr>
          <w:lang w:val="en-GB"/>
        </w:rPr>
        <w:t xml:space="preserve">, p. 201. See also Ben Golder, </w:t>
      </w:r>
      <w:r w:rsidRPr="0023032F">
        <w:rPr>
          <w:i/>
          <w:iCs/>
          <w:lang w:val="en-GB"/>
        </w:rPr>
        <w:t>Foucault and the Politics of Rights</w:t>
      </w:r>
      <w:r w:rsidRPr="0023032F">
        <w:rPr>
          <w:lang w:val="en-GB"/>
        </w:rPr>
        <w:t xml:space="preserve"> (</w:t>
      </w:r>
      <w:r w:rsidR="00AE035C">
        <w:rPr>
          <w:lang w:val="en-GB"/>
        </w:rPr>
        <w:t xml:space="preserve">Stanford: </w:t>
      </w:r>
      <w:r w:rsidRPr="0023032F">
        <w:rPr>
          <w:lang w:val="en-GB"/>
        </w:rPr>
        <w:t>Stanford University Press, 2015).</w:t>
      </w:r>
    </w:p>
  </w:footnote>
  <w:footnote w:id="80">
    <w:p w14:paraId="651C1181" w14:textId="77777777" w:rsidR="000F4E8C" w:rsidRPr="00267814" w:rsidRDefault="000F4E8C" w:rsidP="000F4E8C">
      <w:pPr>
        <w:pStyle w:val="FootnoteText"/>
        <w:rPr>
          <w:lang w:val="en-US"/>
        </w:rPr>
      </w:pPr>
      <w:r>
        <w:rPr>
          <w:rStyle w:val="FootnoteReference"/>
        </w:rPr>
        <w:footnoteRef/>
      </w:r>
      <w:r w:rsidRPr="00267814">
        <w:rPr>
          <w:lang w:val="en-US"/>
        </w:rPr>
        <w:t xml:space="preserve"> </w:t>
      </w:r>
      <w:r w:rsidRPr="000609B2">
        <w:rPr>
          <w:lang w:val="en-US"/>
        </w:rPr>
        <w:t>Foucault,</w:t>
      </w:r>
      <w:r>
        <w:rPr>
          <w:lang w:val="en-US"/>
        </w:rPr>
        <w:t xml:space="preserve"> </w:t>
      </w:r>
      <w:r w:rsidRPr="00267814">
        <w:rPr>
          <w:i/>
          <w:iCs/>
          <w:lang w:val="en-US"/>
        </w:rPr>
        <w:t>Ethics: Subjectivity and Truth</w:t>
      </w:r>
      <w:r w:rsidRPr="000609B2">
        <w:rPr>
          <w:lang w:val="en-US"/>
        </w:rPr>
        <w:t xml:space="preserve">, pp. 281–302; Michel Foucault, </w:t>
      </w:r>
      <w:r w:rsidRPr="00267814">
        <w:rPr>
          <w:i/>
          <w:iCs/>
          <w:lang w:val="en-US"/>
        </w:rPr>
        <w:t>The Use of Pleasure: Volume 2 of The History of Sexuality</w:t>
      </w:r>
      <w:r w:rsidRPr="000609B2">
        <w:rPr>
          <w:lang w:val="en-US"/>
        </w:rPr>
        <w:t>, trans. by Robert Hurley (New York: Pantheon Books, 1985), p. 9</w:t>
      </w:r>
      <w:r>
        <w:rPr>
          <w:lang w:val="en-US"/>
        </w:rPr>
        <w:t>.</w:t>
      </w:r>
    </w:p>
  </w:footnote>
  <w:footnote w:id="81">
    <w:p w14:paraId="4850EB13" w14:textId="2693D80E" w:rsidR="00714765" w:rsidRPr="00714765" w:rsidRDefault="00714765">
      <w:pPr>
        <w:pStyle w:val="FootnoteText"/>
        <w:rPr>
          <w:lang w:val="en-GB"/>
        </w:rPr>
      </w:pPr>
      <w:r>
        <w:rPr>
          <w:rStyle w:val="FootnoteReference"/>
        </w:rPr>
        <w:footnoteRef/>
      </w:r>
      <w:r w:rsidRPr="00714765">
        <w:rPr>
          <w:lang w:val="en-GB"/>
        </w:rPr>
        <w:t xml:space="preserve"> Foucault, 'The Subject and Power', p. 781.</w:t>
      </w:r>
    </w:p>
  </w:footnote>
  <w:footnote w:id="82">
    <w:p w14:paraId="3FF808FC" w14:textId="740F1A23" w:rsidR="00714765" w:rsidRPr="00714765" w:rsidRDefault="00714765">
      <w:pPr>
        <w:pStyle w:val="FootnoteText"/>
        <w:rPr>
          <w:lang w:val="en-GB"/>
        </w:rPr>
      </w:pPr>
      <w:r>
        <w:rPr>
          <w:rStyle w:val="FootnoteReference"/>
        </w:rPr>
        <w:footnoteRef/>
      </w:r>
      <w:r w:rsidRPr="00714765">
        <w:rPr>
          <w:lang w:val="en-GB"/>
        </w:rPr>
        <w:t xml:space="preserve"> Foucault, 'What is Enlightenment?', p. 46.</w:t>
      </w:r>
    </w:p>
  </w:footnote>
  <w:footnote w:id="83">
    <w:p w14:paraId="3CA1B389" w14:textId="28D8BFEC" w:rsidR="009F137D" w:rsidRPr="009F137D" w:rsidRDefault="009F137D">
      <w:pPr>
        <w:pStyle w:val="FootnoteText"/>
        <w:rPr>
          <w:lang w:val="en-GB"/>
        </w:rPr>
      </w:pPr>
      <w:r>
        <w:rPr>
          <w:rStyle w:val="FootnoteReference"/>
        </w:rPr>
        <w:footnoteRef/>
      </w:r>
      <w:r w:rsidRPr="009F137D">
        <w:rPr>
          <w:lang w:val="en-GB"/>
        </w:rPr>
        <w:t xml:space="preserve"> Foucault, 'What is Enlightenment?', p. 46.</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07E" w14:textId="7E7B1588" w:rsidR="00CC5992" w:rsidRDefault="00000000">
    <w:pPr>
      <w:jc w:val="right"/>
    </w:pPr>
    <w:r>
      <w:fldChar w:fldCharType="begin"/>
    </w:r>
    <w:r>
      <w:instrText>PAGE</w:instrText>
    </w:r>
    <w:r>
      <w:fldChar w:fldCharType="separate"/>
    </w:r>
    <w:r w:rsidR="00314F90">
      <w:rPr>
        <w:noProof/>
      </w:rPr>
      <w:t>1</w:t>
    </w:r>
    <w: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07D" w14:textId="77777777" w:rsidR="00CC5992" w:rsidRDefault="00CC5992"/>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70E198F"/>
    <w:multiLevelType w:val="multilevel"/>
    <w:tmpl w:val="834A47F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C0232F2"/>
    <w:multiLevelType w:val="multilevel"/>
    <w:tmpl w:val="522A6DF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790049AE"/>
    <w:multiLevelType w:val="multilevel"/>
    <w:tmpl w:val="C518DC9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981303093">
    <w:abstractNumId w:val="2"/>
  </w:num>
  <w:num w:numId="2" w16cid:durableId="1721703768">
    <w:abstractNumId w:val="1"/>
  </w:num>
  <w:num w:numId="3" w16cid:durableId="19012894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C5992"/>
    <w:rsid w:val="00023F5D"/>
    <w:rsid w:val="00034C9A"/>
    <w:rsid w:val="0004076F"/>
    <w:rsid w:val="000418F2"/>
    <w:rsid w:val="00042F4A"/>
    <w:rsid w:val="000609B2"/>
    <w:rsid w:val="000A5D94"/>
    <w:rsid w:val="000F1268"/>
    <w:rsid w:val="000F4D5B"/>
    <w:rsid w:val="000F4E8C"/>
    <w:rsid w:val="00115B6B"/>
    <w:rsid w:val="0012639A"/>
    <w:rsid w:val="001429F8"/>
    <w:rsid w:val="001671BD"/>
    <w:rsid w:val="0019203A"/>
    <w:rsid w:val="001A29B8"/>
    <w:rsid w:val="002117D8"/>
    <w:rsid w:val="00217DDF"/>
    <w:rsid w:val="0023032F"/>
    <w:rsid w:val="00235792"/>
    <w:rsid w:val="00250E3D"/>
    <w:rsid w:val="00256BAE"/>
    <w:rsid w:val="002754B5"/>
    <w:rsid w:val="002949F3"/>
    <w:rsid w:val="003050F0"/>
    <w:rsid w:val="00306157"/>
    <w:rsid w:val="00306981"/>
    <w:rsid w:val="00314F90"/>
    <w:rsid w:val="00325F5C"/>
    <w:rsid w:val="00375A10"/>
    <w:rsid w:val="00394163"/>
    <w:rsid w:val="003A2E87"/>
    <w:rsid w:val="003F0E91"/>
    <w:rsid w:val="00434B36"/>
    <w:rsid w:val="0044319A"/>
    <w:rsid w:val="00446FF4"/>
    <w:rsid w:val="0045202B"/>
    <w:rsid w:val="00493A84"/>
    <w:rsid w:val="00495801"/>
    <w:rsid w:val="004B6CE0"/>
    <w:rsid w:val="004C006C"/>
    <w:rsid w:val="004F39D9"/>
    <w:rsid w:val="00504365"/>
    <w:rsid w:val="0053279D"/>
    <w:rsid w:val="00552DD2"/>
    <w:rsid w:val="00564A64"/>
    <w:rsid w:val="0057071B"/>
    <w:rsid w:val="00585334"/>
    <w:rsid w:val="00593A6D"/>
    <w:rsid w:val="005D7BE0"/>
    <w:rsid w:val="005E249A"/>
    <w:rsid w:val="005F555C"/>
    <w:rsid w:val="00632672"/>
    <w:rsid w:val="00640CAF"/>
    <w:rsid w:val="00674D34"/>
    <w:rsid w:val="006806D0"/>
    <w:rsid w:val="006939E2"/>
    <w:rsid w:val="006A7DFD"/>
    <w:rsid w:val="006B0D10"/>
    <w:rsid w:val="006C0EC6"/>
    <w:rsid w:val="006C1444"/>
    <w:rsid w:val="006C7739"/>
    <w:rsid w:val="00701E19"/>
    <w:rsid w:val="007034DC"/>
    <w:rsid w:val="00710DF4"/>
    <w:rsid w:val="00714765"/>
    <w:rsid w:val="00716BF1"/>
    <w:rsid w:val="007343E2"/>
    <w:rsid w:val="007B67F1"/>
    <w:rsid w:val="007C1FA2"/>
    <w:rsid w:val="007C512A"/>
    <w:rsid w:val="00803868"/>
    <w:rsid w:val="00850243"/>
    <w:rsid w:val="00855438"/>
    <w:rsid w:val="00897A4B"/>
    <w:rsid w:val="008A1197"/>
    <w:rsid w:val="008A16ED"/>
    <w:rsid w:val="008A189F"/>
    <w:rsid w:val="008A5646"/>
    <w:rsid w:val="008A6DE6"/>
    <w:rsid w:val="008D4EDD"/>
    <w:rsid w:val="008D6FE3"/>
    <w:rsid w:val="008E41D0"/>
    <w:rsid w:val="008F307B"/>
    <w:rsid w:val="00910964"/>
    <w:rsid w:val="00911550"/>
    <w:rsid w:val="00921EDD"/>
    <w:rsid w:val="00941729"/>
    <w:rsid w:val="00951B80"/>
    <w:rsid w:val="009525AC"/>
    <w:rsid w:val="009A6385"/>
    <w:rsid w:val="009D09E0"/>
    <w:rsid w:val="009F137D"/>
    <w:rsid w:val="00A02BA0"/>
    <w:rsid w:val="00A20C3B"/>
    <w:rsid w:val="00A37B9C"/>
    <w:rsid w:val="00A53148"/>
    <w:rsid w:val="00A5661C"/>
    <w:rsid w:val="00AA1E62"/>
    <w:rsid w:val="00AD0AF0"/>
    <w:rsid w:val="00AE035C"/>
    <w:rsid w:val="00AE7F55"/>
    <w:rsid w:val="00B0251D"/>
    <w:rsid w:val="00B21913"/>
    <w:rsid w:val="00B43BE4"/>
    <w:rsid w:val="00B52DD7"/>
    <w:rsid w:val="00B7163B"/>
    <w:rsid w:val="00B77E83"/>
    <w:rsid w:val="00BA7AD0"/>
    <w:rsid w:val="00BD6F59"/>
    <w:rsid w:val="00C04794"/>
    <w:rsid w:val="00C17F00"/>
    <w:rsid w:val="00C20184"/>
    <w:rsid w:val="00C5376C"/>
    <w:rsid w:val="00C61353"/>
    <w:rsid w:val="00C704A5"/>
    <w:rsid w:val="00C94059"/>
    <w:rsid w:val="00CC109A"/>
    <w:rsid w:val="00CC5992"/>
    <w:rsid w:val="00CC6A36"/>
    <w:rsid w:val="00D335B1"/>
    <w:rsid w:val="00D36D1D"/>
    <w:rsid w:val="00D42A0F"/>
    <w:rsid w:val="00D43833"/>
    <w:rsid w:val="00D8491B"/>
    <w:rsid w:val="00DA12F3"/>
    <w:rsid w:val="00DA1FAB"/>
    <w:rsid w:val="00DC7F2D"/>
    <w:rsid w:val="00DD68CD"/>
    <w:rsid w:val="00E26CA9"/>
    <w:rsid w:val="00E312AE"/>
    <w:rsid w:val="00E33CE4"/>
    <w:rsid w:val="00E4455B"/>
    <w:rsid w:val="00E913F2"/>
    <w:rsid w:val="00E96492"/>
    <w:rsid w:val="00ED3940"/>
    <w:rsid w:val="00ED630B"/>
    <w:rsid w:val="00EE4CC7"/>
    <w:rsid w:val="00F03FF7"/>
    <w:rsid w:val="00F055D4"/>
    <w:rsid w:val="00F15FAC"/>
    <w:rsid w:val="00F26FF6"/>
    <w:rsid w:val="00F33D6C"/>
    <w:rsid w:val="00F55622"/>
    <w:rsid w:val="00F807E6"/>
    <w:rsid w:val="00F96A46"/>
    <w:rsid w:val="00FB4011"/>
    <w:rsid w:val="00FD430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7CCE48"/>
  <w15:docId w15:val="{C565DC59-2D8D-40FB-9A33-E989BAF501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fi"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FootnoteText">
    <w:name w:val="footnote text"/>
    <w:basedOn w:val="Normal"/>
    <w:link w:val="FootnoteTextChar"/>
    <w:uiPriority w:val="99"/>
    <w:semiHidden/>
    <w:unhideWhenUsed/>
    <w:rsid w:val="00314F90"/>
    <w:pPr>
      <w:spacing w:line="240" w:lineRule="auto"/>
    </w:pPr>
    <w:rPr>
      <w:sz w:val="20"/>
      <w:szCs w:val="20"/>
    </w:rPr>
  </w:style>
  <w:style w:type="character" w:customStyle="1" w:styleId="FootnoteTextChar">
    <w:name w:val="Footnote Text Char"/>
    <w:basedOn w:val="DefaultParagraphFont"/>
    <w:link w:val="FootnoteText"/>
    <w:uiPriority w:val="99"/>
    <w:semiHidden/>
    <w:rsid w:val="00314F90"/>
    <w:rPr>
      <w:sz w:val="20"/>
      <w:szCs w:val="20"/>
    </w:rPr>
  </w:style>
  <w:style w:type="character" w:styleId="FootnoteReference">
    <w:name w:val="footnote reference"/>
    <w:basedOn w:val="DefaultParagraphFont"/>
    <w:uiPriority w:val="99"/>
    <w:semiHidden/>
    <w:unhideWhenUsed/>
    <w:rsid w:val="00314F90"/>
    <w:rPr>
      <w:vertAlign w:val="superscript"/>
    </w:rPr>
  </w:style>
  <w:style w:type="paragraph" w:styleId="Revision">
    <w:name w:val="Revision"/>
    <w:hidden/>
    <w:uiPriority w:val="99"/>
    <w:semiHidden/>
    <w:rsid w:val="00911550"/>
    <w:pPr>
      <w:spacing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yperlink" Target="mailto:otto.lehto@nyu.edu"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orcid.org/0000-0003-0267-7640" TargetMode="Externa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402EA21-A64B-45DA-9389-BC19027D39A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17</Pages>
  <Words>4967</Words>
  <Characters>28317</Characters>
  <Application>Microsoft Office Word</Application>
  <DocSecurity>0</DocSecurity>
  <Lines>235</Lines>
  <Paragraphs>66</Paragraphs>
  <ScaleCrop>false</ScaleCrop>
  <HeadingPairs>
    <vt:vector size="2" baseType="variant">
      <vt:variant>
        <vt:lpstr>Title</vt:lpstr>
      </vt:variant>
      <vt:variant>
        <vt:i4>1</vt:i4>
      </vt:variant>
    </vt:vector>
  </HeadingPairs>
  <TitlesOfParts>
    <vt:vector size="1" baseType="lpstr">
      <vt:lpstr/>
    </vt:vector>
  </TitlesOfParts>
  <Company>NYU School of Law</Company>
  <LinksUpToDate>false</LinksUpToDate>
  <CharactersWithSpaces>33218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Lehto, Otto</dc:creator>
  <cp:lastModifiedBy>Lehto, Otto</cp:lastModifiedBy>
  <cp:revision>7</cp:revision>
  <cp:lastPrinted>2026-03-19T04:44:00Z</cp:lastPrinted>
  <dcterms:created xsi:type="dcterms:W3CDTF">2026-03-19T04:30:00Z</dcterms:created>
  <dcterms:modified xsi:type="dcterms:W3CDTF">2026-03-19T04:44:00Z</dcterms:modified>
</cp:coreProperties>
</file>