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5357B2" w14:textId="77777777" w:rsidR="004860CC" w:rsidRPr="00290417" w:rsidRDefault="004860CC" w:rsidP="00290417">
      <w:pPr>
        <w:jc w:val="both"/>
        <w:rPr>
          <w:rFonts w:ascii="Times New Roman" w:hAnsi="Times New Roman" w:cs="Times New Roman"/>
          <w:lang w:val="en-US"/>
        </w:rPr>
      </w:pPr>
    </w:p>
    <w:p w14:paraId="15253A55" w14:textId="08245CE6" w:rsidR="00BE6FF6" w:rsidRPr="00FA135C" w:rsidRDefault="00BE6FF6" w:rsidP="00762003">
      <w:pPr>
        <w:spacing w:line="360" w:lineRule="auto"/>
        <w:jc w:val="center"/>
        <w:rPr>
          <w:rFonts w:ascii="Times New Roman" w:hAnsi="Times New Roman" w:cs="Times New Roman"/>
          <w:b/>
          <w:bCs/>
          <w:lang w:val="en-US"/>
        </w:rPr>
      </w:pPr>
      <w:r w:rsidRPr="00FA135C">
        <w:rPr>
          <w:rFonts w:ascii="Times New Roman" w:hAnsi="Times New Roman" w:cs="Times New Roman"/>
          <w:b/>
          <w:bCs/>
          <w:lang w:val="en-US"/>
        </w:rPr>
        <w:t>Beyond Coercion and Ideology: Rethinking Althusser's State Theory</w:t>
      </w:r>
    </w:p>
    <w:p w14:paraId="787CAC10" w14:textId="77777777" w:rsidR="00661F57" w:rsidRPr="00FA135C" w:rsidRDefault="00661F57" w:rsidP="00BE6FF6">
      <w:pPr>
        <w:pStyle w:val="NormalWeb"/>
        <w:spacing w:line="360" w:lineRule="auto"/>
        <w:jc w:val="both"/>
        <w:rPr>
          <w:b/>
          <w:bCs/>
          <w:lang w:val="en-US"/>
        </w:rPr>
      </w:pPr>
    </w:p>
    <w:p w14:paraId="7DA9E7CA" w14:textId="2397253F" w:rsidR="00BE6FF6" w:rsidRPr="00FA135C" w:rsidRDefault="00BE6FF6" w:rsidP="00BE6FF6">
      <w:pPr>
        <w:pStyle w:val="NormalWeb"/>
        <w:spacing w:line="360" w:lineRule="auto"/>
        <w:jc w:val="both"/>
        <w:rPr>
          <w:b/>
          <w:bCs/>
          <w:lang w:val="en-US"/>
        </w:rPr>
      </w:pPr>
      <w:r w:rsidRPr="00FA135C">
        <w:rPr>
          <w:b/>
          <w:bCs/>
          <w:lang w:val="en-US"/>
        </w:rPr>
        <w:t>Introduction</w:t>
      </w:r>
    </w:p>
    <w:p w14:paraId="78BAC2D9" w14:textId="4CA5AFB4" w:rsidR="00CA1518" w:rsidRPr="00FA135C" w:rsidRDefault="00CA1518" w:rsidP="00BE6FF6">
      <w:pPr>
        <w:pStyle w:val="NormalWeb"/>
        <w:spacing w:line="360" w:lineRule="auto"/>
        <w:jc w:val="both"/>
        <w:rPr>
          <w:lang w:val="en-US"/>
        </w:rPr>
      </w:pPr>
      <w:r w:rsidRPr="00FA135C">
        <w:rPr>
          <w:lang w:val="en-US"/>
        </w:rPr>
        <w:t xml:space="preserve">The reception of Louis Althusser within the canon of Western Marxism has often been marked by a peculiar form of selective reading. While his 1970 essay, </w:t>
      </w:r>
      <w:r w:rsidRPr="00FA135C">
        <w:rPr>
          <w:i/>
          <w:iCs/>
          <w:lang w:val="en-US"/>
        </w:rPr>
        <w:t>Ideology and Ideological State Apparatuses</w:t>
      </w:r>
      <w:r w:rsidRPr="00FA135C">
        <w:rPr>
          <w:lang w:val="en-US"/>
        </w:rPr>
        <w:t xml:space="preserve">, remains a foundational text for cultural studies and political theory, it has frequently been stripped of its harsher, materialist edge. In the popular academic imagination, Althusser is often reduced to the "philosopher of ideology", the thinker who moved the goalposts of Marxism away from the gritty realities of state violence and economic base toward the nebulous realm of subject-formation. Furthermore, as noted before, we </w:t>
      </w:r>
      <w:r w:rsidR="009A5563" w:rsidRPr="00FA135C">
        <w:rPr>
          <w:lang w:val="en-US"/>
        </w:rPr>
        <w:t xml:space="preserve">have </w:t>
      </w:r>
      <w:r w:rsidRPr="00FA135C">
        <w:rPr>
          <w:lang w:val="en-US"/>
        </w:rPr>
        <w:t>witnessed an impressive number of books in various languages have the phrase “against Althusser” in the title</w:t>
      </w:r>
      <w:r w:rsidR="004D7659">
        <w:rPr>
          <w:lang w:val="en-US"/>
        </w:rPr>
        <w:t>.</w:t>
      </w:r>
      <w:r w:rsidR="00F062E3" w:rsidRPr="00FA135C">
        <w:rPr>
          <w:rStyle w:val="EndnoteReference"/>
          <w:lang w:val="en-US"/>
        </w:rPr>
        <w:endnoteReference w:id="1"/>
      </w:r>
      <w:r w:rsidRPr="00FA135C">
        <w:rPr>
          <w:lang w:val="en-US"/>
        </w:rPr>
        <w:t xml:space="preserve"> </w:t>
      </w:r>
      <w:proofErr w:type="spellStart"/>
      <w:r w:rsidRPr="00FA135C">
        <w:rPr>
          <w:lang w:val="en-US"/>
        </w:rPr>
        <w:t>Denuncing</w:t>
      </w:r>
      <w:proofErr w:type="spellEnd"/>
      <w:r w:rsidRPr="00FA135C">
        <w:rPr>
          <w:lang w:val="en-US"/>
        </w:rPr>
        <w:t xml:space="preserve"> him as a </w:t>
      </w:r>
      <w:proofErr w:type="spellStart"/>
      <w:r w:rsidRPr="00FA135C">
        <w:rPr>
          <w:lang w:val="en-US"/>
        </w:rPr>
        <w:t>structualist</w:t>
      </w:r>
      <w:proofErr w:type="spellEnd"/>
      <w:r w:rsidRPr="00FA135C">
        <w:rPr>
          <w:lang w:val="en-US"/>
        </w:rPr>
        <w:t xml:space="preserve">, a philosopher who liquidated the subject, a reductionist, numerous </w:t>
      </w:r>
      <w:proofErr w:type="spellStart"/>
      <w:r w:rsidRPr="00FA135C">
        <w:rPr>
          <w:lang w:val="en-US"/>
        </w:rPr>
        <w:t>authours</w:t>
      </w:r>
      <w:proofErr w:type="spellEnd"/>
      <w:r w:rsidRPr="00FA135C">
        <w:rPr>
          <w:lang w:val="en-US"/>
        </w:rPr>
        <w:t xml:space="preserve"> from incompatible traditions of thoughts and styles </w:t>
      </w:r>
      <w:r w:rsidR="009A5563" w:rsidRPr="00FA135C">
        <w:rPr>
          <w:lang w:val="en-US"/>
        </w:rPr>
        <w:t xml:space="preserve">have </w:t>
      </w:r>
      <w:r w:rsidRPr="00FA135C">
        <w:rPr>
          <w:lang w:val="en-US"/>
        </w:rPr>
        <w:t>created an overwhelmingly negative judgment of his work</w:t>
      </w:r>
      <w:r w:rsidR="004D7659">
        <w:rPr>
          <w:lang w:val="en-US"/>
        </w:rPr>
        <w:t>.</w:t>
      </w:r>
      <w:r w:rsidR="00F062E3" w:rsidRPr="00FA135C">
        <w:rPr>
          <w:rStyle w:val="EndnoteReference"/>
          <w:lang w:val="en-US"/>
        </w:rPr>
        <w:endnoteReference w:id="2"/>
      </w:r>
      <w:r w:rsidRPr="00FA135C">
        <w:rPr>
          <w:lang w:val="en-US"/>
        </w:rPr>
        <w:t xml:space="preserve"> </w:t>
      </w:r>
    </w:p>
    <w:p w14:paraId="0E51EC29" w14:textId="006A3F53" w:rsidR="00CA1518" w:rsidRPr="00FA135C" w:rsidRDefault="00CA1518" w:rsidP="00661F57">
      <w:pPr>
        <w:pStyle w:val="NormalWeb"/>
        <w:spacing w:line="360" w:lineRule="auto"/>
        <w:ind w:firstLine="708"/>
        <w:jc w:val="both"/>
        <w:rPr>
          <w:lang w:val="en-US"/>
        </w:rPr>
      </w:pPr>
      <w:r w:rsidRPr="00FA135C">
        <w:rPr>
          <w:lang w:val="en-US"/>
        </w:rPr>
        <w:t xml:space="preserve">However, this "culturalist" appropriation of Althusser does a disservice to the structural rigor of his project. To view Althusser as a thinker who merely </w:t>
      </w:r>
      <w:r w:rsidR="009A5563" w:rsidRPr="00FA135C">
        <w:rPr>
          <w:lang w:val="en-US"/>
        </w:rPr>
        <w:t>replaced</w:t>
      </w:r>
      <w:r w:rsidRPr="00FA135C">
        <w:rPr>
          <w:lang w:val="en-US"/>
        </w:rPr>
        <w:t xml:space="preserve"> the "hard" power of the state </w:t>
      </w:r>
      <w:r w:rsidR="009A5563" w:rsidRPr="00FA135C">
        <w:rPr>
          <w:lang w:val="en-US"/>
        </w:rPr>
        <w:t>with</w:t>
      </w:r>
      <w:r w:rsidRPr="00FA135C">
        <w:rPr>
          <w:lang w:val="en-US"/>
        </w:rPr>
        <w:t xml:space="preserve"> the "soft" power of ideology is to miss the central tension of his work: the attempt to map the state as a unified, multifaceted apparatus that ensures the reproduction of the conditions of production. This chapter seeks to move beyond the binary of coercion versus ideology. By revisiting Althusser’s state theory, I contend that his work does not represent a retreat from the economic, but rather a sophisticated synthesis of Western Marxism’s concern with hegemony and Eastern Marxism’s emphasis on the coercive state. To understand Althusser is to understand that the state is never just an idea, nor is it just a baton; it is the essential machinery that prevents the capitalist social formation from collapsing under its own inherent contradictions.</w:t>
      </w:r>
    </w:p>
    <w:p w14:paraId="2EDB5660" w14:textId="45FFFE77" w:rsidR="00BE6FF6" w:rsidRPr="00FA135C" w:rsidRDefault="00BE6FF6" w:rsidP="00BE6FF6">
      <w:pPr>
        <w:pStyle w:val="NormalWeb"/>
        <w:spacing w:line="360" w:lineRule="auto"/>
        <w:jc w:val="both"/>
        <w:rPr>
          <w:b/>
          <w:bCs/>
          <w:lang w:val="en-US"/>
        </w:rPr>
      </w:pPr>
      <w:r w:rsidRPr="00FA135C">
        <w:rPr>
          <w:b/>
          <w:bCs/>
          <w:lang w:val="en-US"/>
        </w:rPr>
        <w:t>Bridging Eastern and Western Marxism</w:t>
      </w:r>
    </w:p>
    <w:p w14:paraId="2897F75F" w14:textId="5FD7D4ED" w:rsidR="00BE6FF6" w:rsidRPr="00FA135C" w:rsidRDefault="00BE6FF6" w:rsidP="00BE6FF6">
      <w:pPr>
        <w:pStyle w:val="NormalWeb"/>
        <w:spacing w:line="360" w:lineRule="auto"/>
        <w:jc w:val="both"/>
        <w:rPr>
          <w:lang w:val="en-US"/>
        </w:rPr>
      </w:pPr>
      <w:r w:rsidRPr="00FA135C">
        <w:rPr>
          <w:lang w:val="en-US"/>
        </w:rPr>
        <w:t xml:space="preserve">To situate Althusser’s intervention, one must first recognize the theoretical "deadlock" he inherited. On one side stood the orthodox, often "Eastern" interpretation of the state as a </w:t>
      </w:r>
      <w:r w:rsidRPr="00FA135C">
        <w:rPr>
          <w:lang w:val="en-US"/>
        </w:rPr>
        <w:lastRenderedPageBreak/>
        <w:t>"machine of repression", a tool wielded by the ruling class to maintain dominance through sheer force. On the other side lay the burgeoning Western Marxist tradition, heavily influenced by Gramsci, which focused on the "consent" of the governed and the role of civil society.</w:t>
      </w:r>
    </w:p>
    <w:p w14:paraId="68F9AD29" w14:textId="77777777" w:rsidR="00BE6FF6" w:rsidRPr="00FA135C" w:rsidRDefault="00BE6FF6" w:rsidP="00661F57">
      <w:pPr>
        <w:pStyle w:val="NormalWeb"/>
        <w:spacing w:line="360" w:lineRule="auto"/>
        <w:ind w:firstLine="708"/>
        <w:jc w:val="both"/>
        <w:rPr>
          <w:lang w:val="en-US"/>
        </w:rPr>
      </w:pPr>
      <w:r w:rsidRPr="00FA135C">
        <w:rPr>
          <w:lang w:val="en-US"/>
        </w:rPr>
        <w:t xml:space="preserve">Althusser’s genius lay in his refusal to choose between these two poles. He recognized that the state is not a monolith but a complex "system of levels" governed by what he termed </w:t>
      </w:r>
      <w:r w:rsidRPr="00FA135C">
        <w:rPr>
          <w:i/>
          <w:iCs/>
          <w:lang w:val="en-US"/>
        </w:rPr>
        <w:t>overdetermination</w:t>
      </w:r>
      <w:r w:rsidRPr="00FA135C">
        <w:rPr>
          <w:lang w:val="en-US"/>
        </w:rPr>
        <w:t>. In this framework, the state is not a simple reflex of the economic base, yet it remains "determined in the last instance" by it. This nuance is precisely what is lost in reductionist readings. By positioning the state as having "relative autonomy," Althusser was able to explain how the state survives even when its coercive arm is not actively visible.</w:t>
      </w:r>
    </w:p>
    <w:p w14:paraId="20B7AFC1" w14:textId="79EFD8B1" w:rsidR="00BE6FF6" w:rsidRPr="00FA135C" w:rsidRDefault="00BE6FF6" w:rsidP="00661F57">
      <w:pPr>
        <w:pStyle w:val="NormalWeb"/>
        <w:spacing w:line="360" w:lineRule="auto"/>
        <w:ind w:firstLine="708"/>
        <w:jc w:val="both"/>
        <w:rPr>
          <w:lang w:val="en-US"/>
        </w:rPr>
      </w:pPr>
      <w:r w:rsidRPr="00FA135C">
        <w:rPr>
          <w:lang w:val="en-US"/>
        </w:rPr>
        <w:t xml:space="preserve">The </w:t>
      </w:r>
      <w:proofErr w:type="spellStart"/>
      <w:r w:rsidRPr="00FA135C">
        <w:rPr>
          <w:lang w:val="en-US"/>
        </w:rPr>
        <w:t>Althusserian</w:t>
      </w:r>
      <w:proofErr w:type="spellEnd"/>
      <w:r w:rsidRPr="00FA135C">
        <w:rPr>
          <w:lang w:val="en-US"/>
        </w:rPr>
        <w:t xml:space="preserve"> state is, therefore, a dual-engine. It operates via the Repressive State Apparatus (RSA), which functions through violence (or the threat thereof), and the Ideological State Apparatus (ISA), which functions through the subtle interpellation</w:t>
      </w:r>
      <w:r w:rsidR="00B506BC">
        <w:rPr>
          <w:rStyle w:val="EndnoteReference"/>
          <w:lang w:val="en-US"/>
        </w:rPr>
        <w:endnoteReference w:id="3"/>
      </w:r>
      <w:r w:rsidRPr="00FA135C">
        <w:rPr>
          <w:lang w:val="en-US"/>
        </w:rPr>
        <w:t xml:space="preserve"> of individuals into subjects. Crucially, Althusser’s innovation was the realization that no apparatus is purely one or the other. The army (RSA) has its own internal ideology, and the school (ISA) has its own forms of discipline and punishment</w:t>
      </w:r>
      <w:r w:rsidR="004D7659">
        <w:rPr>
          <w:lang w:val="en-US"/>
        </w:rPr>
        <w:t>.</w:t>
      </w:r>
      <w:r w:rsidR="009A35B3" w:rsidRPr="00FA135C">
        <w:rPr>
          <w:rStyle w:val="EndnoteReference"/>
          <w:lang w:val="en-US"/>
        </w:rPr>
        <w:endnoteReference w:id="4"/>
      </w:r>
    </w:p>
    <w:p w14:paraId="00D0E490" w14:textId="56014C66" w:rsidR="005F4F25" w:rsidRPr="00FA135C" w:rsidRDefault="005F4F25" w:rsidP="00661F57">
      <w:pPr>
        <w:pStyle w:val="NormalWeb"/>
        <w:spacing w:line="360" w:lineRule="auto"/>
        <w:ind w:firstLine="708"/>
        <w:jc w:val="both"/>
        <w:rPr>
          <w:lang w:val="en-US"/>
        </w:rPr>
      </w:pPr>
      <w:r w:rsidRPr="00FA135C">
        <w:rPr>
          <w:lang w:val="en-US"/>
        </w:rPr>
        <w:t>While the "Eastern" or instrumentalist tradition</w:t>
      </w:r>
      <w:r w:rsidR="00661F57" w:rsidRPr="00FA135C">
        <w:rPr>
          <w:lang w:val="en-US"/>
        </w:rPr>
        <w:t xml:space="preserve">, </w:t>
      </w:r>
      <w:r w:rsidRPr="00FA135C">
        <w:rPr>
          <w:lang w:val="en-US"/>
        </w:rPr>
        <w:t xml:space="preserve">most notably articulated in Lenin’s </w:t>
      </w:r>
      <w:r w:rsidRPr="00FA135C">
        <w:rPr>
          <w:i/>
          <w:iCs/>
          <w:lang w:val="en-US"/>
        </w:rPr>
        <w:t>The State and Revolution</w:t>
      </w:r>
      <w:r w:rsidRPr="00FA135C">
        <w:rPr>
          <w:lang w:val="en-US"/>
        </w:rPr>
        <w:t xml:space="preserve"> (1917)</w:t>
      </w:r>
      <w:r w:rsidR="00661F57" w:rsidRPr="00FA135C">
        <w:rPr>
          <w:lang w:val="en-US"/>
        </w:rPr>
        <w:t xml:space="preserve"> </w:t>
      </w:r>
      <w:r w:rsidRPr="00FA135C">
        <w:rPr>
          <w:lang w:val="en-US"/>
        </w:rPr>
        <w:t>provided a necessary roadmap for the seizure of power, Althusser identified a descriptive gap in its focus. If the state were merely a "machine of repression" consisting of "special bodies of armed men," it would require constant, overt violence to maintain the status quo. Such a system would be inherently unstable and economically inefficient. Althusser’s synthesis suggests that the state’s primary function is not the suppression of revolt, but the reproduction of the conditions of production. This shifts the focus from the state-as-actor to the state-as-structure. By integrating the Western Marxist concern with "consent," Althusser argues that the state must ensure that labor-power is not only technically capable but also submissive to the rules of the established order.</w:t>
      </w:r>
    </w:p>
    <w:p w14:paraId="68DD0DD9" w14:textId="4BCDECA3" w:rsidR="005F4F25" w:rsidRPr="00FA135C" w:rsidRDefault="005F4F25" w:rsidP="007862FA">
      <w:pPr>
        <w:pStyle w:val="NormalWeb"/>
        <w:spacing w:line="360" w:lineRule="auto"/>
        <w:ind w:firstLine="708"/>
        <w:jc w:val="both"/>
        <w:rPr>
          <w:lang w:val="en-US"/>
        </w:rPr>
      </w:pPr>
      <w:r w:rsidRPr="00FA135C">
        <w:rPr>
          <w:lang w:val="en-US"/>
        </w:rPr>
        <w:t xml:space="preserve">This is where the </w:t>
      </w:r>
      <w:proofErr w:type="spellStart"/>
      <w:r w:rsidRPr="00FA135C">
        <w:rPr>
          <w:lang w:val="en-US"/>
        </w:rPr>
        <w:t>Althusserian</w:t>
      </w:r>
      <w:proofErr w:type="spellEnd"/>
      <w:r w:rsidRPr="00FA135C">
        <w:rPr>
          <w:lang w:val="en-US"/>
        </w:rPr>
        <w:t xml:space="preserve"> project deepens the Gramscian notion of "hegemony." Where Gramsci sees hegemony as a somewhat fluid negotiation between civil society and the state, Althusser formalizes this through the materiality of the apparatus. He rejects the idealist notion that ideology is a set of "disembodied ideas" floating in the consciousness of the proletariat. Instead, he insists that "ideology has a material existence</w:t>
      </w:r>
      <w:r w:rsidR="007862FA">
        <w:rPr>
          <w:lang w:val="en-US"/>
        </w:rPr>
        <w:t>.</w:t>
      </w:r>
      <w:r w:rsidRPr="00FA135C">
        <w:rPr>
          <w:lang w:val="en-US"/>
        </w:rPr>
        <w:t>"</w:t>
      </w:r>
      <w:r w:rsidR="00760FD0" w:rsidRPr="00FA135C">
        <w:rPr>
          <w:rStyle w:val="EndnoteReference"/>
          <w:lang w:val="en-US"/>
        </w:rPr>
        <w:endnoteReference w:id="5"/>
      </w:r>
      <w:r w:rsidRPr="00FA135C">
        <w:rPr>
          <w:lang w:val="en-US"/>
        </w:rPr>
        <w:t xml:space="preserve"> It exists in the ritual of the church, the discipline of the classroom, and the bureaucratic procedure of the office. By </w:t>
      </w:r>
      <w:r w:rsidRPr="00FA135C">
        <w:rPr>
          <w:lang w:val="en-US"/>
        </w:rPr>
        <w:lastRenderedPageBreak/>
        <w:t>framing the "Western" concern with culture through a "materialist" lens, Althusser avoids the trap of bourgeois psychology. He demonstrates that the state’s non-coercive power is just as "hard" and structural as its police force, as both are anchored in the material practices that allow capitalism to reset itself every morning.</w:t>
      </w:r>
    </w:p>
    <w:p w14:paraId="5D945C07" w14:textId="2A2257D4" w:rsidR="005F4F25" w:rsidRPr="00FA135C" w:rsidRDefault="005F4F25" w:rsidP="00661F57">
      <w:pPr>
        <w:pStyle w:val="NormalWeb"/>
        <w:spacing w:line="360" w:lineRule="auto"/>
        <w:ind w:firstLine="708"/>
        <w:jc w:val="both"/>
        <w:rPr>
          <w:lang w:val="en-US"/>
        </w:rPr>
      </w:pPr>
      <w:r w:rsidRPr="00FA135C">
        <w:rPr>
          <w:lang w:val="en-US"/>
        </w:rPr>
        <w:t>Furthermore, this synthesis resolves the problem of "determination in the last instance." For the orthodox tradition, the economic base was a puppet master; for the more liberal Western Marxists, the superstructure often seemed to drift into total autonomy. Althusser’s middle ground introduces structural causality. He posits that the state is "relatively autonomous" because it must be free to intervene in the economy and society to save capitalism from the capitalists themselves. By maintaining this distance, the state can perform functions that a single firm or industry cannot</w:t>
      </w:r>
      <w:r w:rsidR="00760FD0" w:rsidRPr="00FA135C">
        <w:rPr>
          <w:lang w:val="en-US"/>
        </w:rPr>
        <w:t xml:space="preserve">, </w:t>
      </w:r>
      <w:r w:rsidRPr="00FA135C">
        <w:rPr>
          <w:lang w:val="en-US"/>
        </w:rPr>
        <w:t>such as universal education or legal standardization. Thus, Althusser’s "</w:t>
      </w:r>
      <w:r w:rsidR="00760FD0" w:rsidRPr="00FA135C">
        <w:rPr>
          <w:lang w:val="en-US"/>
        </w:rPr>
        <w:t>s</w:t>
      </w:r>
      <w:r w:rsidRPr="00FA135C">
        <w:rPr>
          <w:lang w:val="en-US"/>
        </w:rPr>
        <w:t>ynthesis" is not merely a compromise between East and West, but a rigorous attempt to show how the state serves the economic base precisely by appearing to be separate from it.</w:t>
      </w:r>
    </w:p>
    <w:p w14:paraId="3F89F429" w14:textId="1DA011A9" w:rsidR="00EE70C6" w:rsidRPr="00FA135C" w:rsidRDefault="00EE70C6" w:rsidP="00BE6FF6">
      <w:pPr>
        <w:pStyle w:val="NormalWeb"/>
        <w:spacing w:line="360" w:lineRule="auto"/>
        <w:jc w:val="both"/>
        <w:rPr>
          <w:b/>
          <w:bCs/>
          <w:lang w:val="en-US"/>
        </w:rPr>
      </w:pPr>
      <w:r w:rsidRPr="00FA135C">
        <w:rPr>
          <w:b/>
          <w:bCs/>
          <w:lang w:val="en-US"/>
        </w:rPr>
        <w:t>The Architecture of Power: Unpacking the Layers</w:t>
      </w:r>
    </w:p>
    <w:p w14:paraId="052A53D2" w14:textId="3081ABF7" w:rsidR="00EA3842" w:rsidRPr="00FA135C" w:rsidRDefault="00EA3842" w:rsidP="00BE6FF6">
      <w:pPr>
        <w:pStyle w:val="NormalWeb"/>
        <w:spacing w:line="360" w:lineRule="auto"/>
        <w:jc w:val="both"/>
        <w:rPr>
          <w:lang w:val="en-US"/>
        </w:rPr>
      </w:pPr>
      <w:r w:rsidRPr="00FA135C">
        <w:rPr>
          <w:lang w:val="en-US"/>
        </w:rPr>
        <w:t xml:space="preserve">To understand the </w:t>
      </w:r>
      <w:proofErr w:type="spellStart"/>
      <w:r w:rsidRPr="00FA135C">
        <w:rPr>
          <w:lang w:val="en-US"/>
        </w:rPr>
        <w:t>Althusserian</w:t>
      </w:r>
      <w:proofErr w:type="spellEnd"/>
      <w:r w:rsidRPr="00FA135C">
        <w:rPr>
          <w:lang w:val="en-US"/>
        </w:rPr>
        <w:t xml:space="preserve"> intervention, one must first depart from a purely functionalist view of the state and move toward a theory of its structural necessity. If we pose the fundamental question “</w:t>
      </w:r>
      <w:r w:rsidR="00FA135C" w:rsidRPr="00FA135C">
        <w:rPr>
          <w:lang w:val="en-US"/>
        </w:rPr>
        <w:t>W</w:t>
      </w:r>
      <w:r w:rsidRPr="00FA135C">
        <w:rPr>
          <w:lang w:val="en-US"/>
        </w:rPr>
        <w:t xml:space="preserve">hat is the state?”, Althusser begins by affirming the classical heritage. He acknowledges that the state cannot be understood outside of its role in class struggle: </w:t>
      </w:r>
    </w:p>
    <w:p w14:paraId="5F44259C" w14:textId="41AD5DE4" w:rsidR="00515A37" w:rsidRPr="00FA135C" w:rsidRDefault="00BD5649" w:rsidP="00A72A20">
      <w:pPr>
        <w:pStyle w:val="NormalWeb"/>
        <w:spacing w:line="360" w:lineRule="auto"/>
        <w:ind w:left="708"/>
        <w:jc w:val="both"/>
        <w:rPr>
          <w:lang w:val="en-US"/>
        </w:rPr>
      </w:pPr>
      <w:r w:rsidRPr="00FA135C">
        <w:rPr>
          <w:lang w:val="en-US"/>
        </w:rPr>
        <w:t xml:space="preserve">The Marxist tradition is categorical: from the </w:t>
      </w:r>
      <w:r w:rsidR="00A72A20" w:rsidRPr="0009358D">
        <w:rPr>
          <w:i/>
          <w:iCs/>
          <w:lang w:val="en-US"/>
        </w:rPr>
        <w:t>M</w:t>
      </w:r>
      <w:r w:rsidRPr="0009358D">
        <w:rPr>
          <w:i/>
          <w:iCs/>
          <w:lang w:val="en-US"/>
        </w:rPr>
        <w:t>anifesto</w:t>
      </w:r>
      <w:r w:rsidRPr="00FA135C">
        <w:rPr>
          <w:lang w:val="en-US"/>
        </w:rPr>
        <w:t xml:space="preserve"> and the </w:t>
      </w:r>
      <w:r w:rsidRPr="0009358D">
        <w:rPr>
          <w:i/>
          <w:iCs/>
          <w:lang w:val="en-US"/>
        </w:rPr>
        <w:t>Eighteenth Brumaire</w:t>
      </w:r>
      <w:r w:rsidRPr="00FA135C">
        <w:rPr>
          <w:lang w:val="en-US"/>
        </w:rPr>
        <w:t xml:space="preserve"> on (and in all the later classic texts, above all Marx </w:t>
      </w:r>
      <w:r w:rsidR="0009358D">
        <w:rPr>
          <w:i/>
          <w:iCs/>
          <w:lang w:val="en-US"/>
        </w:rPr>
        <w:t>O</w:t>
      </w:r>
      <w:r w:rsidRPr="0009358D">
        <w:rPr>
          <w:i/>
          <w:iCs/>
          <w:lang w:val="en-US"/>
        </w:rPr>
        <w:t>n the Paris Commune</w:t>
      </w:r>
      <w:r w:rsidRPr="00FA135C">
        <w:rPr>
          <w:lang w:val="en-US"/>
        </w:rPr>
        <w:t xml:space="preserve"> and Lenin in </w:t>
      </w:r>
      <w:r w:rsidRPr="0009358D">
        <w:rPr>
          <w:i/>
          <w:iCs/>
          <w:lang w:val="en-US"/>
        </w:rPr>
        <w:t>State and Revolution</w:t>
      </w:r>
      <w:r w:rsidRPr="00FA135C">
        <w:rPr>
          <w:lang w:val="en-US"/>
        </w:rPr>
        <w:t>), the state is explicitly conceived as a repressive apparatus. The state is a repressive 'machine' that enables the dominant classes (in the nineteenth century, the bourgeois class and the '</w:t>
      </w:r>
      <w:proofErr w:type="spellStart"/>
      <w:r w:rsidRPr="00FA135C">
        <w:rPr>
          <w:lang w:val="en-US"/>
        </w:rPr>
        <w:t>class'</w:t>
      </w:r>
      <w:proofErr w:type="spellEnd"/>
      <w:r w:rsidRPr="00FA135C">
        <w:rPr>
          <w:lang w:val="en-US"/>
        </w:rPr>
        <w:t xml:space="preserve"> of big landowners) to ensure their domination over the working class in order to subject it to the process of extorting surplus</w:t>
      </w:r>
      <w:r w:rsidR="00A72A20" w:rsidRPr="00FA135C">
        <w:rPr>
          <w:lang w:val="en-US"/>
        </w:rPr>
        <w:t xml:space="preserve"> </w:t>
      </w:r>
      <w:r w:rsidRPr="00FA135C">
        <w:rPr>
          <w:lang w:val="en-US"/>
        </w:rPr>
        <w:t>value (that is, to capitalist exploitation)</w:t>
      </w:r>
      <w:r w:rsidR="00F062E3" w:rsidRPr="00FA135C">
        <w:rPr>
          <w:rStyle w:val="EndnoteReference"/>
          <w:lang w:val="en-US"/>
        </w:rPr>
        <w:endnoteReference w:id="6"/>
      </w:r>
    </w:p>
    <w:p w14:paraId="2CC96571" w14:textId="08777B48" w:rsidR="00EA3842" w:rsidRPr="00FA135C" w:rsidRDefault="00EA3842" w:rsidP="00EA3842">
      <w:pPr>
        <w:pStyle w:val="NormalWeb"/>
        <w:spacing w:line="360" w:lineRule="auto"/>
        <w:jc w:val="both"/>
        <w:rPr>
          <w:lang w:val="en-US"/>
        </w:rPr>
      </w:pPr>
      <w:r w:rsidRPr="00FA135C">
        <w:rPr>
          <w:lang w:val="en-US"/>
        </w:rPr>
        <w:t>There is, as Althusser notes, nothing inherently revolutionary about this definition; it remains the bedrock of historical materialism. However, his specific contribution lies in shifting the analytical lens from the existence of the state to the logic of its reproduction. For Althusser, the "descriptive" theory of the state</w:t>
      </w:r>
      <w:r w:rsidR="00A72A20" w:rsidRPr="00FA135C">
        <w:rPr>
          <w:lang w:val="en-US"/>
        </w:rPr>
        <w:t xml:space="preserve">, </w:t>
      </w:r>
      <w:r w:rsidRPr="00FA135C">
        <w:rPr>
          <w:lang w:val="en-US"/>
        </w:rPr>
        <w:t>which views it merely as a blunt instrument of class violence</w:t>
      </w:r>
      <w:r w:rsidR="00A72A20" w:rsidRPr="00FA135C">
        <w:rPr>
          <w:lang w:val="en-US"/>
        </w:rPr>
        <w:t xml:space="preserve"> </w:t>
      </w:r>
      <w:r w:rsidRPr="00FA135C">
        <w:rPr>
          <w:lang w:val="en-US"/>
        </w:rPr>
        <w:lastRenderedPageBreak/>
        <w:t>is insufficient for explaining the longevity and stability of the capitalist social formation. The central problem is not merely how the state exists, but how it ensures its own continuity and, by extension, the continuity of the relations of production.</w:t>
      </w:r>
    </w:p>
    <w:p w14:paraId="45456A74" w14:textId="77777777" w:rsidR="00EA3842" w:rsidRPr="00FA135C" w:rsidRDefault="00EA3842" w:rsidP="00661F57">
      <w:pPr>
        <w:pStyle w:val="NormalWeb"/>
        <w:spacing w:line="360" w:lineRule="auto"/>
        <w:ind w:firstLine="708"/>
        <w:jc w:val="both"/>
        <w:rPr>
          <w:lang w:val="en-US"/>
        </w:rPr>
      </w:pPr>
      <w:r w:rsidRPr="00FA135C">
        <w:rPr>
          <w:lang w:val="en-US"/>
        </w:rPr>
        <w:t>To move beyond this descriptive stage, Althusser introduces a crucial distinction between "state power" (the possession of the state by a specific class) and the "state apparatus" (the objective structures through which that power is exercised). As he argues:</w:t>
      </w:r>
    </w:p>
    <w:p w14:paraId="4D7238AE" w14:textId="27F30DD4" w:rsidR="00BD5649" w:rsidRPr="00FA135C" w:rsidRDefault="00BD5649" w:rsidP="00A72A20">
      <w:pPr>
        <w:pStyle w:val="NormalWeb"/>
        <w:spacing w:line="360" w:lineRule="auto"/>
        <w:ind w:left="708"/>
        <w:jc w:val="both"/>
        <w:rPr>
          <w:lang w:val="en-US"/>
        </w:rPr>
      </w:pPr>
      <w:r w:rsidRPr="00FA135C">
        <w:rPr>
          <w:lang w:val="en-US"/>
        </w:rPr>
        <w:t xml:space="preserve">To produce a theory of the state, it is imperative to take into account not only the distinction between </w:t>
      </w:r>
      <w:r w:rsidRPr="00FA135C">
        <w:rPr>
          <w:i/>
          <w:iCs/>
          <w:lang w:val="en-US"/>
        </w:rPr>
        <w:t>state power</w:t>
      </w:r>
      <w:r w:rsidRPr="00FA135C">
        <w:rPr>
          <w:lang w:val="en-US"/>
        </w:rPr>
        <w:t xml:space="preserve"> (and those who hold it) and </w:t>
      </w:r>
      <w:r w:rsidRPr="00FA135C">
        <w:rPr>
          <w:i/>
          <w:iCs/>
          <w:lang w:val="en-US"/>
        </w:rPr>
        <w:t>state apparatus</w:t>
      </w:r>
      <w:r w:rsidRPr="00FA135C">
        <w:rPr>
          <w:lang w:val="en-US"/>
        </w:rPr>
        <w:t>, but also another 'reality' that must clearly be ranged alongside the Repressive State Apparatus, but is not c</w:t>
      </w:r>
      <w:r w:rsidR="00A72A20" w:rsidRPr="00FA135C">
        <w:rPr>
          <w:lang w:val="en-US"/>
        </w:rPr>
        <w:t>on</w:t>
      </w:r>
      <w:r w:rsidRPr="00FA135C">
        <w:rPr>
          <w:lang w:val="en-US"/>
        </w:rPr>
        <w:t>f</w:t>
      </w:r>
      <w:r w:rsidR="00A72A20" w:rsidRPr="00FA135C">
        <w:rPr>
          <w:lang w:val="en-US"/>
        </w:rPr>
        <w:t>la</w:t>
      </w:r>
      <w:r w:rsidRPr="00FA135C">
        <w:rPr>
          <w:lang w:val="en-US"/>
        </w:rPr>
        <w:t xml:space="preserve">ted with it. We shall take the theoretical risk of calling it the Ideological State Apparatuses. The precise point on which our theoretical intervention bears is thus these </w:t>
      </w:r>
      <w:r w:rsidRPr="00FA135C">
        <w:rPr>
          <w:i/>
          <w:iCs/>
          <w:lang w:val="en-US"/>
        </w:rPr>
        <w:t>Ideological State Apparatuses</w:t>
      </w:r>
      <w:r w:rsidRPr="00FA135C">
        <w:rPr>
          <w:lang w:val="en-US"/>
        </w:rPr>
        <w:t xml:space="preserve"> in their distinction from the state apparatus in the sense of Repressive State Apparatus.</w:t>
      </w:r>
      <w:r w:rsidR="00F062E3" w:rsidRPr="00FA135C">
        <w:rPr>
          <w:rStyle w:val="EndnoteReference"/>
          <w:lang w:val="en-US"/>
        </w:rPr>
        <w:endnoteReference w:id="7"/>
      </w:r>
    </w:p>
    <w:p w14:paraId="2DE685BE" w14:textId="77777777" w:rsidR="00EA3842" w:rsidRPr="00FA135C" w:rsidRDefault="00EA3842" w:rsidP="00EA3842">
      <w:pPr>
        <w:pStyle w:val="NormalWeb"/>
        <w:spacing w:line="360" w:lineRule="auto"/>
        <w:jc w:val="both"/>
        <w:rPr>
          <w:lang w:val="en-US"/>
        </w:rPr>
      </w:pPr>
      <w:r w:rsidRPr="00FA135C">
        <w:rPr>
          <w:lang w:val="en-US"/>
        </w:rPr>
        <w:t>Having established these two dimensions, it is vital to recognize that the distinction between the Repressive State Apparatus (RSA) and the Ideological State Apparatus (ISA) is never a clean, binary divide. A common reductionist error is to assume that the RSA functions exclusively by "violence" and the ISA exclusively by "ideology." On the contrary, Althusser insists that every apparatus functions through a combination of both, though one mode remains primary.</w:t>
      </w:r>
    </w:p>
    <w:p w14:paraId="299DC8CE" w14:textId="6A76C234" w:rsidR="00EA3842" w:rsidRPr="00FA135C" w:rsidRDefault="00EA3842" w:rsidP="00661F57">
      <w:pPr>
        <w:pStyle w:val="NormalWeb"/>
        <w:spacing w:line="360" w:lineRule="auto"/>
        <w:ind w:firstLine="708"/>
        <w:jc w:val="both"/>
        <w:rPr>
          <w:lang w:val="en-US"/>
        </w:rPr>
      </w:pPr>
      <w:r w:rsidRPr="00FA135C">
        <w:rPr>
          <w:lang w:val="en-US"/>
        </w:rPr>
        <w:t>Consider the School, which Althusser identifies as the dominant ISA of mature capitalism. On the surface, the school functions through the dissemination of "know-how" and the interpellation of the child as a future citizen-subject. However, this ideological work is bolstered by a latent infrastructure of repression. The school utilizes extra-economic coercion</w:t>
      </w:r>
      <w:r w:rsidR="00D91EC5" w:rsidRPr="00FA135C">
        <w:rPr>
          <w:lang w:val="en-US"/>
        </w:rPr>
        <w:t xml:space="preserve">; </w:t>
      </w:r>
      <w:r w:rsidRPr="00FA135C">
        <w:rPr>
          <w:lang w:val="en-US"/>
        </w:rPr>
        <w:t>punishment, detention, expulsion, and the rigorous discipline of the grading system</w:t>
      </w:r>
      <w:r w:rsidR="00D91EC5" w:rsidRPr="00FA135C">
        <w:rPr>
          <w:lang w:val="en-US"/>
        </w:rPr>
        <w:t xml:space="preserve"> </w:t>
      </w:r>
      <w:r w:rsidRPr="00FA135C">
        <w:rPr>
          <w:lang w:val="en-US"/>
        </w:rPr>
        <w:t xml:space="preserve">to ensure the ideological message is received. Conversely, the </w:t>
      </w:r>
      <w:r w:rsidR="00FA135C" w:rsidRPr="00FA135C">
        <w:rPr>
          <w:lang w:val="en-US"/>
        </w:rPr>
        <w:t>a</w:t>
      </w:r>
      <w:r w:rsidRPr="00FA135C">
        <w:rPr>
          <w:lang w:val="en-US"/>
        </w:rPr>
        <w:t xml:space="preserve">rmy or the </w:t>
      </w:r>
      <w:r w:rsidR="00FA135C" w:rsidRPr="00FA135C">
        <w:rPr>
          <w:lang w:val="en-US"/>
        </w:rPr>
        <w:t>p</w:t>
      </w:r>
      <w:r w:rsidRPr="00FA135C">
        <w:rPr>
          <w:lang w:val="en-US"/>
        </w:rPr>
        <w:t>olice (primary RSAs) do not function by bullets alone; they are sustained by intensive internal ideologies of "patriotism"</w:t>
      </w:r>
      <w:r w:rsidR="009E3433" w:rsidRPr="00FA135C">
        <w:rPr>
          <w:lang w:val="en-US"/>
        </w:rPr>
        <w:t>,</w:t>
      </w:r>
      <w:r w:rsidRPr="00FA135C">
        <w:rPr>
          <w:lang w:val="en-US"/>
        </w:rPr>
        <w:t xml:space="preserve"> "duty"</w:t>
      </w:r>
      <w:r w:rsidR="009E3433" w:rsidRPr="00FA135C">
        <w:rPr>
          <w:lang w:val="en-US"/>
        </w:rPr>
        <w:t>,</w:t>
      </w:r>
      <w:r w:rsidRPr="00FA135C">
        <w:rPr>
          <w:lang w:val="en-US"/>
        </w:rPr>
        <w:t xml:space="preserve"> and "order" that ensure the ranks remain loyal to the state power they serve</w:t>
      </w:r>
      <w:r w:rsidR="004D7659">
        <w:rPr>
          <w:lang w:val="en-US"/>
        </w:rPr>
        <w:t>.</w:t>
      </w:r>
      <w:r w:rsidR="009E3433" w:rsidRPr="00FA135C">
        <w:rPr>
          <w:rStyle w:val="EndnoteReference"/>
          <w:lang w:val="en-US"/>
        </w:rPr>
        <w:endnoteReference w:id="8"/>
      </w:r>
    </w:p>
    <w:p w14:paraId="33699EC9" w14:textId="30BE50CA" w:rsidR="00EA3842" w:rsidRPr="00FA135C" w:rsidRDefault="00EA3842" w:rsidP="00661F57">
      <w:pPr>
        <w:pStyle w:val="NormalWeb"/>
        <w:spacing w:line="360" w:lineRule="auto"/>
        <w:ind w:firstLine="708"/>
        <w:jc w:val="both"/>
        <w:rPr>
          <w:lang w:val="en-US"/>
        </w:rPr>
      </w:pPr>
      <w:r w:rsidRPr="00FA135C">
        <w:rPr>
          <w:lang w:val="en-US"/>
        </w:rPr>
        <w:t xml:space="preserve">This "doubled nature" becomes historically legible when we examine the transition from feudalism to capitalism. In the pre-capitalist era, the Church was the dominant ISA. It organized not only the religious life of the peasantry but also their temporal understanding of </w:t>
      </w:r>
      <w:r w:rsidRPr="00FA135C">
        <w:rPr>
          <w:lang w:val="en-US"/>
        </w:rPr>
        <w:lastRenderedPageBreak/>
        <w:t xml:space="preserve">time, labor, and hierarchy. It was the Church that ensured the "reproduction" of the feudal subject through the </w:t>
      </w:r>
      <w:r w:rsidR="008A4035">
        <w:rPr>
          <w:lang w:val="en-US"/>
        </w:rPr>
        <w:t xml:space="preserve">religious </w:t>
      </w:r>
      <w:r w:rsidRPr="00FA135C">
        <w:rPr>
          <w:lang w:val="en-US"/>
        </w:rPr>
        <w:t>ideology, backed by the repressive power of the tithe and the Inquisition.</w:t>
      </w:r>
    </w:p>
    <w:p w14:paraId="2611D5BB" w14:textId="71E5CD18" w:rsidR="00BD5649" w:rsidRPr="00FA135C" w:rsidRDefault="00EA3842" w:rsidP="00661F57">
      <w:pPr>
        <w:pStyle w:val="NormalWeb"/>
        <w:spacing w:line="360" w:lineRule="auto"/>
        <w:ind w:firstLine="708"/>
        <w:jc w:val="both"/>
        <w:rPr>
          <w:lang w:val="en-US"/>
        </w:rPr>
      </w:pPr>
      <w:r w:rsidRPr="00FA135C">
        <w:rPr>
          <w:lang w:val="en-US"/>
        </w:rPr>
        <w:t xml:space="preserve">However, the rise of the bourgeoisie necessitated a more flexible, technically proficient subject. The "economic necessity" of capitalism required a labor force that was literate, punctual, and habituated to the logic of the contract. Thus, the School supplanted the Church. This shift was not a humanitarian "enlightenment" but a structural realignment. The school became the site where the "ruling ideology" is internalized by the youth of all classes. For the working class, it provides the "rules" of submissiveness; for the agents of exploitation (managers, politicians), it provides the "rhetoric" of leadership. By replacing the pulpit with the classroom, the capitalist state ensured a more efficient, </w:t>
      </w:r>
      <w:proofErr w:type="spellStart"/>
      <w:r w:rsidRPr="00FA135C">
        <w:rPr>
          <w:lang w:val="en-US"/>
        </w:rPr>
        <w:t>internalised</w:t>
      </w:r>
      <w:proofErr w:type="spellEnd"/>
      <w:r w:rsidRPr="00FA135C">
        <w:rPr>
          <w:lang w:val="en-US"/>
        </w:rPr>
        <w:t xml:space="preserve"> form of control that reduced the "overhead cost" of constant physical repression.</w:t>
      </w:r>
    </w:p>
    <w:p w14:paraId="6845C5C7" w14:textId="428A2118" w:rsidR="00EA3842" w:rsidRPr="00FA135C" w:rsidRDefault="00D91EC5" w:rsidP="00BE6FF6">
      <w:pPr>
        <w:pStyle w:val="NormalWeb"/>
        <w:spacing w:line="360" w:lineRule="auto"/>
        <w:jc w:val="both"/>
        <w:rPr>
          <w:b/>
          <w:bCs/>
          <w:lang w:val="en-US"/>
        </w:rPr>
      </w:pPr>
      <w:r w:rsidRPr="00FA135C">
        <w:rPr>
          <w:b/>
          <w:bCs/>
          <w:lang w:val="en-US"/>
        </w:rPr>
        <w:t>Challenging Reductionism</w:t>
      </w:r>
    </w:p>
    <w:p w14:paraId="6F1399D6" w14:textId="22CCA2D1" w:rsidR="00EA3842" w:rsidRPr="00FA135C" w:rsidRDefault="00EA3842" w:rsidP="00EA3842">
      <w:pPr>
        <w:pStyle w:val="NormalWeb"/>
        <w:spacing w:line="360" w:lineRule="auto"/>
        <w:jc w:val="both"/>
        <w:rPr>
          <w:lang w:val="en-US"/>
        </w:rPr>
      </w:pPr>
      <w:r w:rsidRPr="00FA135C">
        <w:rPr>
          <w:lang w:val="en-US"/>
        </w:rPr>
        <w:t xml:space="preserve">The charge leveled against Althusser by many of his contemporaries was that he had essentially "vaporized" the economic base. In the eyes of critics like </w:t>
      </w:r>
      <w:r w:rsidR="007862FA">
        <w:rPr>
          <w:lang w:val="en-US"/>
        </w:rPr>
        <w:t>E. P.</w:t>
      </w:r>
      <w:r w:rsidRPr="00FA135C">
        <w:rPr>
          <w:lang w:val="en-US"/>
        </w:rPr>
        <w:t xml:space="preserve"> Thompson, Althusser had replaced the material reality of class struggle with a series of abstract, self-perpetuating structures</w:t>
      </w:r>
      <w:r w:rsidR="004D7659">
        <w:rPr>
          <w:lang w:val="en-US"/>
        </w:rPr>
        <w:t>.</w:t>
      </w:r>
      <w:r w:rsidR="004623F7" w:rsidRPr="00FA135C">
        <w:rPr>
          <w:rStyle w:val="EndnoteReference"/>
          <w:lang w:val="en-US"/>
        </w:rPr>
        <w:endnoteReference w:id="9"/>
      </w:r>
      <w:r w:rsidRPr="00FA135C">
        <w:rPr>
          <w:lang w:val="en-US"/>
        </w:rPr>
        <w:t xml:space="preserve"> By focusing so heavily on the school and the family, these critics argued, Althusser had drifted into a form of cultural idealism that looked more like sociology than Marxism. They claimed he had abandoned the "hard" economic infrastructure for the "soft" world of ideas.</w:t>
      </w:r>
    </w:p>
    <w:p w14:paraId="5E0186E0" w14:textId="2E143A51" w:rsidR="00EA3842" w:rsidRPr="00FA135C" w:rsidRDefault="00EA3842" w:rsidP="00661F57">
      <w:pPr>
        <w:pStyle w:val="NormalWeb"/>
        <w:spacing w:line="360" w:lineRule="auto"/>
        <w:ind w:firstLine="708"/>
        <w:jc w:val="both"/>
        <w:rPr>
          <w:lang w:val="en-US"/>
        </w:rPr>
      </w:pPr>
      <w:r w:rsidRPr="00FA135C">
        <w:rPr>
          <w:lang w:val="en-US"/>
        </w:rPr>
        <w:t>But this interpretation relies on a fundamental misunderstanding of what Althusser means by reproduction. For Althusser, the school is not a site of "ideas" in the liberal sense; it is a site of economic production. A factory cannot function simply because it has machines and raw materials; it requires a labor force that has been "pre-processed" by the state. This processing is twofold: workers must have the technical skills to operate the machinery, but they must also have the "ideological" discipline to accept the hierarchy of the shop floor. If the school fails to produce submissive, skilled subjects, the economic base itself begins to crumble. Therefore, the Ideological State Apparatus is not a "secondary" concern</w:t>
      </w:r>
      <w:r w:rsidR="004623F7" w:rsidRPr="00FA135C">
        <w:rPr>
          <w:lang w:val="en-US"/>
        </w:rPr>
        <w:t xml:space="preserve">, </w:t>
      </w:r>
      <w:r w:rsidRPr="00FA135C">
        <w:rPr>
          <w:lang w:val="en-US"/>
        </w:rPr>
        <w:t>it is a material requirement of the capitalist economy.</w:t>
      </w:r>
    </w:p>
    <w:p w14:paraId="2BB1EEC2" w14:textId="4E81502E" w:rsidR="00EA3842" w:rsidRPr="00FA135C" w:rsidRDefault="00EA3842" w:rsidP="00661F57">
      <w:pPr>
        <w:pStyle w:val="NormalWeb"/>
        <w:spacing w:line="360" w:lineRule="auto"/>
        <w:ind w:firstLine="708"/>
        <w:jc w:val="both"/>
        <w:rPr>
          <w:lang w:val="en-US"/>
        </w:rPr>
      </w:pPr>
      <w:r w:rsidRPr="00FA135C">
        <w:rPr>
          <w:lang w:val="en-US"/>
        </w:rPr>
        <w:t>When Althusser is accused of being "ahistorical" or "anti-humanist," the critic usually overlooks his engagement with the concept of overdetermination</w:t>
      </w:r>
      <w:r w:rsidR="004D7659">
        <w:rPr>
          <w:lang w:val="en-US"/>
        </w:rPr>
        <w:t>.</w:t>
      </w:r>
      <w:r w:rsidR="004623F7" w:rsidRPr="00FA135C">
        <w:rPr>
          <w:rStyle w:val="EndnoteReference"/>
          <w:lang w:val="en-US"/>
        </w:rPr>
        <w:endnoteReference w:id="10"/>
      </w:r>
      <w:r w:rsidRPr="00FA135C">
        <w:rPr>
          <w:lang w:val="en-US"/>
        </w:rPr>
        <w:t xml:space="preserve"> This is a term he borrowed </w:t>
      </w:r>
      <w:r w:rsidRPr="00FA135C">
        <w:rPr>
          <w:lang w:val="en-US"/>
        </w:rPr>
        <w:lastRenderedPageBreak/>
        <w:t>from Freud but repurposed to explain how different levels of society—the economic, the political, and the ideological—all press down on a single historical moment</w:t>
      </w:r>
      <w:r w:rsidR="004D7659">
        <w:rPr>
          <w:lang w:val="en-US"/>
        </w:rPr>
        <w:t>.</w:t>
      </w:r>
      <w:r w:rsidR="005A0936" w:rsidRPr="00FA135C">
        <w:rPr>
          <w:rStyle w:val="EndnoteReference"/>
          <w:lang w:val="en-US"/>
        </w:rPr>
        <w:endnoteReference w:id="11"/>
      </w:r>
      <w:r w:rsidRPr="00FA135C">
        <w:rPr>
          <w:lang w:val="en-US"/>
        </w:rPr>
        <w:t xml:space="preserve"> He was not saying that ideology is more important than the economy. He was saying that the economy only ever acts "in the last instance." In the immediate reality of daily life, the state must use its apparatuses to keep the social formation from flying apart.</w:t>
      </w:r>
    </w:p>
    <w:p w14:paraId="364D2515" w14:textId="41FC4216" w:rsidR="0063242D" w:rsidRPr="00FA135C" w:rsidRDefault="0063242D" w:rsidP="00661F57">
      <w:pPr>
        <w:pStyle w:val="NormalWeb"/>
        <w:spacing w:line="360" w:lineRule="auto"/>
        <w:ind w:firstLine="708"/>
        <w:jc w:val="both"/>
        <w:rPr>
          <w:lang w:val="en-US"/>
        </w:rPr>
      </w:pPr>
      <w:r w:rsidRPr="00FA135C">
        <w:rPr>
          <w:lang w:val="en-US"/>
        </w:rPr>
        <w:t>This interpretive pincer move</w:t>
      </w:r>
      <w:r w:rsidR="00E862B6" w:rsidRPr="00FA135C">
        <w:rPr>
          <w:lang w:val="en-US"/>
        </w:rPr>
        <w:t xml:space="preserve">, </w:t>
      </w:r>
      <w:r w:rsidRPr="00FA135C">
        <w:rPr>
          <w:lang w:val="en-US"/>
        </w:rPr>
        <w:t>the simultaneous charge of culturalism and determinism</w:t>
      </w:r>
      <w:r w:rsidR="00E862B6" w:rsidRPr="00FA135C">
        <w:rPr>
          <w:lang w:val="en-US"/>
        </w:rPr>
        <w:t xml:space="preserve"> </w:t>
      </w:r>
      <w:r w:rsidRPr="00FA135C">
        <w:rPr>
          <w:lang w:val="en-US"/>
        </w:rPr>
        <w:t xml:space="preserve">finds its most aggressive expression in the British Marxist tradition, specifically in the work of Thompson. In </w:t>
      </w:r>
      <w:r w:rsidRPr="00FA135C">
        <w:rPr>
          <w:i/>
          <w:iCs/>
          <w:lang w:val="en-US"/>
        </w:rPr>
        <w:t>The Poverty of Theory</w:t>
      </w:r>
      <w:r w:rsidRPr="00FA135C">
        <w:rPr>
          <w:lang w:val="en-US"/>
        </w:rPr>
        <w:t xml:space="preserve">, Thompson’s assault on </w:t>
      </w:r>
      <w:proofErr w:type="spellStart"/>
      <w:r w:rsidRPr="00FA135C">
        <w:rPr>
          <w:lang w:val="en-US"/>
        </w:rPr>
        <w:t>Althusserianism</w:t>
      </w:r>
      <w:proofErr w:type="spellEnd"/>
      <w:r w:rsidRPr="00FA135C">
        <w:rPr>
          <w:lang w:val="en-US"/>
        </w:rPr>
        <w:t xml:space="preserve"> is rooted in a defense of historical "experience" against what he perceived as a bloodless structuralism. For Thompson, Althusser’s state is a ghostly architecture where the "agents" of history are reduced to mere "supports" (</w:t>
      </w:r>
      <w:r w:rsidRPr="00FA135C">
        <w:rPr>
          <w:i/>
          <w:iCs/>
          <w:lang w:val="en-US"/>
        </w:rPr>
        <w:t>Träger</w:t>
      </w:r>
      <w:r w:rsidRPr="00FA135C">
        <w:rPr>
          <w:lang w:val="en-US"/>
        </w:rPr>
        <w:t>) of the system</w:t>
      </w:r>
      <w:r w:rsidR="004D7659">
        <w:rPr>
          <w:lang w:val="en-US"/>
        </w:rPr>
        <w:t>.</w:t>
      </w:r>
      <w:r w:rsidR="00E862B6" w:rsidRPr="00FA135C">
        <w:rPr>
          <w:rStyle w:val="EndnoteReference"/>
          <w:lang w:val="en-US"/>
        </w:rPr>
        <w:endnoteReference w:id="12"/>
      </w:r>
      <w:r w:rsidRPr="00FA135C">
        <w:rPr>
          <w:lang w:val="en-US"/>
        </w:rPr>
        <w:t xml:space="preserve"> This critique posits that by defining the state as an all-encompassing apparatus of reproduction, Althusser effectively eliminates the possibility of a conscious, self-organized working class. If the school, the family, and the law are all "always already" </w:t>
      </w:r>
      <w:proofErr w:type="spellStart"/>
      <w:r w:rsidRPr="00FA135C">
        <w:rPr>
          <w:lang w:val="en-US"/>
        </w:rPr>
        <w:t>interpellating</w:t>
      </w:r>
      <w:proofErr w:type="spellEnd"/>
      <w:r w:rsidRPr="00FA135C">
        <w:rPr>
          <w:lang w:val="en-US"/>
        </w:rPr>
        <w:t xml:space="preserve"> the individual into a state-sanctioned subject, then the very category of "class struggle" appears to be swallowed by the structure itself.</w:t>
      </w:r>
    </w:p>
    <w:p w14:paraId="489475CA" w14:textId="13D3FBD5" w:rsidR="0063242D" w:rsidRPr="00FA135C" w:rsidRDefault="0063242D" w:rsidP="00661F57">
      <w:pPr>
        <w:pStyle w:val="NormalWeb"/>
        <w:spacing w:line="360" w:lineRule="auto"/>
        <w:ind w:firstLine="708"/>
        <w:jc w:val="both"/>
        <w:rPr>
          <w:lang w:val="en-US"/>
        </w:rPr>
      </w:pPr>
      <w:r w:rsidRPr="00FA135C">
        <w:rPr>
          <w:lang w:val="en-US"/>
        </w:rPr>
        <w:t>However, to read Althusser as an undertaker of agency is to ignore the radical instability he attributes to the state’s reproductive mission. The critics often overlook that for Althusser, reproduction is not a guaranteed outcome but a constant, precarious effort. The state must "work" to reproduce the conditions of production precisely because those conditions are under constant threat from the inherent contradictions of capital. When Althusser claims that the "economic dialectic is never active in the pure state,</w:t>
      </w:r>
      <w:r w:rsidR="004D7659">
        <w:rPr>
          <w:lang w:val="en-US"/>
        </w:rPr>
        <w:t>”</w:t>
      </w:r>
      <w:r w:rsidR="00E862B6" w:rsidRPr="00FA135C">
        <w:rPr>
          <w:rStyle w:val="EndnoteReference"/>
          <w:lang w:val="en-US"/>
        </w:rPr>
        <w:endnoteReference w:id="13"/>
      </w:r>
      <w:r w:rsidRPr="00FA135C">
        <w:rPr>
          <w:lang w:val="en-US"/>
        </w:rPr>
        <w:t xml:space="preserve"> he is suggesting that the state apparatus is the very site where class struggle is organized and fought. The "interpellation" of the subject is not a magic spell that works perfectly every time; it is a material practice that can, and often does, fail.</w:t>
      </w:r>
    </w:p>
    <w:p w14:paraId="02779416" w14:textId="71AA0FD0" w:rsidR="0063242D" w:rsidRPr="00FA135C" w:rsidRDefault="0063242D" w:rsidP="00661F57">
      <w:pPr>
        <w:pStyle w:val="NormalWeb"/>
        <w:spacing w:line="360" w:lineRule="auto"/>
        <w:ind w:firstLine="708"/>
        <w:jc w:val="both"/>
        <w:rPr>
          <w:lang w:val="en-US"/>
        </w:rPr>
      </w:pPr>
      <w:r w:rsidRPr="00FA135C">
        <w:rPr>
          <w:lang w:val="en-US"/>
        </w:rPr>
        <w:t xml:space="preserve">This brings us to the internal "break" within the </w:t>
      </w:r>
      <w:proofErr w:type="spellStart"/>
      <w:r w:rsidRPr="00FA135C">
        <w:rPr>
          <w:lang w:val="en-US"/>
        </w:rPr>
        <w:t>Althusserian</w:t>
      </w:r>
      <w:proofErr w:type="spellEnd"/>
      <w:r w:rsidRPr="00FA135C">
        <w:rPr>
          <w:lang w:val="en-US"/>
        </w:rPr>
        <w:t xml:space="preserve"> school, most notably represented by Jacques Rancière. </w:t>
      </w:r>
      <w:proofErr w:type="spellStart"/>
      <w:r w:rsidRPr="00FA135C">
        <w:rPr>
          <w:lang w:val="en-US"/>
        </w:rPr>
        <w:t>Rancière’s</w:t>
      </w:r>
      <w:proofErr w:type="spellEnd"/>
      <w:r w:rsidRPr="00FA135C">
        <w:rPr>
          <w:lang w:val="en-US"/>
        </w:rPr>
        <w:t xml:space="preserve"> departure was predicated on the belief that Althusser’s theory of ideology created a permanent hierarchy between the "scientist" who understands the structure and the "ignorant" masses who are trapped within it</w:t>
      </w:r>
      <w:r w:rsidR="004D7659">
        <w:rPr>
          <w:lang w:val="en-US"/>
        </w:rPr>
        <w:t>.</w:t>
      </w:r>
      <w:r w:rsidR="00E862B6" w:rsidRPr="00FA135C">
        <w:rPr>
          <w:rStyle w:val="EndnoteReference"/>
          <w:lang w:val="en-US"/>
        </w:rPr>
        <w:endnoteReference w:id="14"/>
      </w:r>
      <w:r w:rsidRPr="00FA135C">
        <w:rPr>
          <w:lang w:val="en-US"/>
        </w:rPr>
        <w:t xml:space="preserve"> From this perspective, Althusser’s state theory becomes a tool of intellectual policing</w:t>
      </w:r>
      <w:r w:rsidR="00E862B6" w:rsidRPr="00FA135C">
        <w:rPr>
          <w:lang w:val="en-US"/>
        </w:rPr>
        <w:t xml:space="preserve">, </w:t>
      </w:r>
      <w:r w:rsidRPr="00FA135C">
        <w:rPr>
          <w:lang w:val="en-US"/>
        </w:rPr>
        <w:t xml:space="preserve">a way of saying that the oppressed cannot truly know their own condition because they are blinded by the Ideological State Apparatus. Yet, even this scathing critique serves to highlight the strength of Althusser’s core observation: that power is not merely something that sits in a parliament or a </w:t>
      </w:r>
      <w:r w:rsidRPr="00FA135C">
        <w:rPr>
          <w:lang w:val="en-US"/>
        </w:rPr>
        <w:lastRenderedPageBreak/>
        <w:t>palace, but is something that constructs the very language and logic through which we perceive our social world.</w:t>
      </w:r>
    </w:p>
    <w:p w14:paraId="4078D154" w14:textId="0A0FC539" w:rsidR="0063242D" w:rsidRPr="00FA135C" w:rsidRDefault="0063242D" w:rsidP="00661F57">
      <w:pPr>
        <w:pStyle w:val="NormalWeb"/>
        <w:spacing w:line="360" w:lineRule="auto"/>
        <w:ind w:firstLine="708"/>
        <w:jc w:val="both"/>
        <w:rPr>
          <w:lang w:val="en-US"/>
        </w:rPr>
      </w:pPr>
      <w:r w:rsidRPr="00FA135C">
        <w:rPr>
          <w:lang w:val="en-US"/>
        </w:rPr>
        <w:t>By centering the debate on this "overdetermined" subject</w:t>
      </w:r>
      <w:r w:rsidR="00E862B6" w:rsidRPr="00FA135C">
        <w:rPr>
          <w:lang w:val="en-US"/>
        </w:rPr>
        <w:t xml:space="preserve"> </w:t>
      </w:r>
      <w:r w:rsidRPr="00FA135C">
        <w:rPr>
          <w:lang w:val="en-US"/>
        </w:rPr>
        <w:t>—one who is shaped by the state but whose material existence is never fully captured by it—</w:t>
      </w:r>
      <w:r w:rsidR="00E862B6" w:rsidRPr="00FA135C">
        <w:rPr>
          <w:lang w:val="en-US"/>
        </w:rPr>
        <w:t xml:space="preserve"> </w:t>
      </w:r>
      <w:r w:rsidRPr="00FA135C">
        <w:rPr>
          <w:lang w:val="en-US"/>
        </w:rPr>
        <w:t>we can bridge the gap between Althusser’s "determinism" and his "culturalism." The state is not a cage, but a set of apparatuses that must be constantly maintained, repaired, and defended by the ruling class. This shift in perspective allows us to see that the "last instance" of the economy is not a distant, invisible god, but a pressure that forces the state to constantly innovate new forms of ideology and coercion. The school replaces the church not because of a change in ideas, but because the economic base demanded a different kind of "reproduced" subject. In this light, Althusser’s supposed "idealism" is revealed to be a rigorous, almost ruthless, materialism.</w:t>
      </w:r>
    </w:p>
    <w:p w14:paraId="11ACEBCD" w14:textId="61FE9680" w:rsidR="00777BB9" w:rsidRPr="00FA135C" w:rsidRDefault="00777BB9" w:rsidP="00661F57">
      <w:pPr>
        <w:pStyle w:val="NormalWeb"/>
        <w:spacing w:line="360" w:lineRule="auto"/>
        <w:ind w:firstLine="708"/>
        <w:jc w:val="both"/>
        <w:rPr>
          <w:lang w:val="en-US"/>
        </w:rPr>
      </w:pPr>
      <w:r w:rsidRPr="00FA135C">
        <w:rPr>
          <w:lang w:val="en-US"/>
        </w:rPr>
        <w:t xml:space="preserve">The exchange between Ralph Miliband and Nicos </w:t>
      </w:r>
      <w:proofErr w:type="spellStart"/>
      <w:r w:rsidRPr="00FA135C">
        <w:rPr>
          <w:lang w:val="en-US"/>
        </w:rPr>
        <w:t>Poulantzas</w:t>
      </w:r>
      <w:proofErr w:type="spellEnd"/>
      <w:r w:rsidRPr="00FA135C">
        <w:rPr>
          <w:lang w:val="en-US"/>
        </w:rPr>
        <w:t xml:space="preserve"> serves as the definitive field of battle for these competing interpretations of the </w:t>
      </w:r>
      <w:proofErr w:type="spellStart"/>
      <w:r w:rsidRPr="00FA135C">
        <w:rPr>
          <w:lang w:val="en-US"/>
        </w:rPr>
        <w:t>Althusserian</w:t>
      </w:r>
      <w:proofErr w:type="spellEnd"/>
      <w:r w:rsidRPr="00FA135C">
        <w:rPr>
          <w:lang w:val="en-US"/>
        </w:rPr>
        <w:t xml:space="preserve"> state. </w:t>
      </w:r>
      <w:proofErr w:type="spellStart"/>
      <w:r w:rsidRPr="00FA135C">
        <w:rPr>
          <w:lang w:val="en-US"/>
        </w:rPr>
        <w:t>Poulantzas</w:t>
      </w:r>
      <w:proofErr w:type="spellEnd"/>
      <w:r w:rsidRPr="00FA135C">
        <w:rPr>
          <w:lang w:val="en-US"/>
        </w:rPr>
        <w:t xml:space="preserve"> criticized Miliband’s instrumentalist view for being trapped in a "problematic of the subject," arguing that focusing on the social background of state elites</w:t>
      </w:r>
      <w:r w:rsidR="00E862B6" w:rsidRPr="00FA135C">
        <w:rPr>
          <w:lang w:val="en-US"/>
        </w:rPr>
        <w:t xml:space="preserve">, </w:t>
      </w:r>
      <w:r w:rsidRPr="00FA135C">
        <w:rPr>
          <w:lang w:val="en-US"/>
        </w:rPr>
        <w:t>the fact that judges or ministers often share a class origin with the bourgeoisie</w:t>
      </w:r>
      <w:r w:rsidR="00E862B6" w:rsidRPr="00FA135C">
        <w:rPr>
          <w:lang w:val="en-US"/>
        </w:rPr>
        <w:t xml:space="preserve"> </w:t>
      </w:r>
      <w:r w:rsidRPr="00FA135C">
        <w:rPr>
          <w:lang w:val="en-US"/>
        </w:rPr>
        <w:t>is a form of sociological reductionism. For Poulantzas, following Althusser’s lead, the state is not a "thing" to be seized or a neutral "tool" to be wielded by a specific group. Instead, it is a "social relation" and a "material condensation of a relationship of forces</w:t>
      </w:r>
      <w:r w:rsidR="007862FA">
        <w:rPr>
          <w:lang w:val="en-US"/>
        </w:rPr>
        <w:t>.</w:t>
      </w:r>
      <w:r w:rsidRPr="00FA135C">
        <w:rPr>
          <w:lang w:val="en-US"/>
        </w:rPr>
        <w:t>"</w:t>
      </w:r>
      <w:r w:rsidR="00E862B6" w:rsidRPr="00FA135C">
        <w:rPr>
          <w:rStyle w:val="EndnoteReference"/>
          <w:lang w:val="en-US"/>
        </w:rPr>
        <w:endnoteReference w:id="15"/>
      </w:r>
      <w:r w:rsidRPr="00FA135C">
        <w:rPr>
          <w:lang w:val="en-US"/>
        </w:rPr>
        <w:t xml:space="preserve"> This shift is vital because it suggests that the state’s role in the reproduction of capital is an objective structural necessity; the state functions to preserve the capitalist system even when its individual actors have no conscious intention of doing so.</w:t>
      </w:r>
    </w:p>
    <w:p w14:paraId="31DED836" w14:textId="0570DDAA" w:rsidR="00777BB9" w:rsidRPr="00FA135C" w:rsidRDefault="00777BB9" w:rsidP="00661F57">
      <w:pPr>
        <w:pStyle w:val="NormalWeb"/>
        <w:spacing w:line="360" w:lineRule="auto"/>
        <w:ind w:firstLine="708"/>
        <w:jc w:val="both"/>
        <w:rPr>
          <w:lang w:val="en-US"/>
        </w:rPr>
      </w:pPr>
      <w:r w:rsidRPr="00FA135C">
        <w:rPr>
          <w:lang w:val="en-US"/>
        </w:rPr>
        <w:t xml:space="preserve">However, </w:t>
      </w:r>
      <w:proofErr w:type="spellStart"/>
      <w:r w:rsidRPr="00FA135C">
        <w:rPr>
          <w:lang w:val="en-US"/>
        </w:rPr>
        <w:t>Poulantzas</w:t>
      </w:r>
      <w:proofErr w:type="spellEnd"/>
      <w:r w:rsidRPr="00FA135C">
        <w:rPr>
          <w:lang w:val="en-US"/>
        </w:rPr>
        <w:t xml:space="preserve"> significantly refined Althusser’s original formulation by arguing against a purely "functionalist" reading of the apparatuses. While Althusser often presented the RSA and ISA as a top-down, seamless machine of indoctrination and force, </w:t>
      </w:r>
      <w:proofErr w:type="spellStart"/>
      <w:r w:rsidRPr="00FA135C">
        <w:rPr>
          <w:lang w:val="en-US"/>
        </w:rPr>
        <w:t>Poulantzas</w:t>
      </w:r>
      <w:proofErr w:type="spellEnd"/>
      <w:r w:rsidRPr="00FA135C">
        <w:rPr>
          <w:lang w:val="en-US"/>
        </w:rPr>
        <w:t xml:space="preserve"> insisted that the state is internally fractured by the very class struggle it seeks to manage. He criticized the idea that the state is a monolithic bloc, proposing instead that it is a site of permanent strategic tension</w:t>
      </w:r>
      <w:r w:rsidR="004D7659">
        <w:rPr>
          <w:lang w:val="en-US"/>
        </w:rPr>
        <w:t>.</w:t>
      </w:r>
      <w:r w:rsidR="00E862B6" w:rsidRPr="00FA135C">
        <w:rPr>
          <w:rStyle w:val="EndnoteReference"/>
          <w:lang w:val="en-US"/>
        </w:rPr>
        <w:endnoteReference w:id="16"/>
      </w:r>
      <w:r w:rsidRPr="00FA135C">
        <w:rPr>
          <w:lang w:val="en-US"/>
        </w:rPr>
        <w:t xml:space="preserve"> This means the state must constantly negotiate between different factions of the ruling class while simultaneously attempting to disorganize the working class through concessions and ideological maneuvers. By viewing the state as an arena of struggle rather than a static instrument, </w:t>
      </w:r>
      <w:proofErr w:type="spellStart"/>
      <w:r w:rsidRPr="00FA135C">
        <w:rPr>
          <w:lang w:val="en-US"/>
        </w:rPr>
        <w:t>Poulantzas</w:t>
      </w:r>
      <w:proofErr w:type="spellEnd"/>
      <w:r w:rsidRPr="00FA135C">
        <w:rPr>
          <w:lang w:val="en-US"/>
        </w:rPr>
        <w:t xml:space="preserve"> managed to preserve Althusser’s structural rigor while reintroducing a sense of historical dynamism. This critique essentially "saved" Althusser’s theory from appearing too rigid, showing that while the state is determined by the economic </w:t>
      </w:r>
      <w:r w:rsidRPr="00FA135C">
        <w:rPr>
          <w:lang w:val="en-US"/>
        </w:rPr>
        <w:lastRenderedPageBreak/>
        <w:t>base in the last instance, its daily operation is a messy, overdetermined process of managing social contradictions.</w:t>
      </w:r>
    </w:p>
    <w:p w14:paraId="33427FBF" w14:textId="1A9A6C61" w:rsidR="00067AED" w:rsidRPr="00FA135C" w:rsidRDefault="00067AED" w:rsidP="00777BB9">
      <w:pPr>
        <w:pStyle w:val="NormalWeb"/>
        <w:spacing w:line="360" w:lineRule="auto"/>
        <w:jc w:val="both"/>
        <w:rPr>
          <w:b/>
          <w:bCs/>
          <w:lang w:val="en-US"/>
        </w:rPr>
      </w:pPr>
      <w:r w:rsidRPr="00FA135C">
        <w:rPr>
          <w:b/>
          <w:bCs/>
          <w:lang w:val="en-US"/>
        </w:rPr>
        <w:t>The Inertia of the Apparatus: Althusser and the Mirage of Rupture</w:t>
      </w:r>
    </w:p>
    <w:p w14:paraId="20378C28" w14:textId="0AF83675" w:rsidR="00067AED" w:rsidRPr="00FA135C" w:rsidRDefault="00E862B6" w:rsidP="00067AED">
      <w:pPr>
        <w:pStyle w:val="NormalWeb"/>
        <w:spacing w:line="360" w:lineRule="auto"/>
        <w:jc w:val="both"/>
        <w:rPr>
          <w:lang w:val="en-US"/>
        </w:rPr>
      </w:pPr>
      <w:r w:rsidRPr="00FA135C">
        <w:rPr>
          <w:lang w:val="en-US"/>
        </w:rPr>
        <w:t>T</w:t>
      </w:r>
      <w:r w:rsidR="00067AED" w:rsidRPr="00FA135C">
        <w:rPr>
          <w:lang w:val="en-US"/>
        </w:rPr>
        <w:t xml:space="preserve">he contemporary relevance of </w:t>
      </w:r>
      <w:proofErr w:type="spellStart"/>
      <w:r w:rsidR="00067AED" w:rsidRPr="00FA135C">
        <w:rPr>
          <w:lang w:val="en-US"/>
        </w:rPr>
        <w:t>Althusserian</w:t>
      </w:r>
      <w:proofErr w:type="spellEnd"/>
      <w:r w:rsidR="00067AED" w:rsidRPr="00FA135C">
        <w:rPr>
          <w:lang w:val="en-US"/>
        </w:rPr>
        <w:t xml:space="preserve"> state theory is most strikingly revealed in the recurring failure of modern uprisings to translate into fundamental structural change. In his late reflections, Althusser offered a chillingly pragmatic observation: the seizure of "state power" does not automatically entail the destruction, or even the slight modification, of the "state apparatus</w:t>
      </w:r>
      <w:r w:rsidR="007862FA">
        <w:rPr>
          <w:lang w:val="en-US"/>
        </w:rPr>
        <w:t>.</w:t>
      </w:r>
      <w:r w:rsidR="00067AED" w:rsidRPr="00FA135C">
        <w:rPr>
          <w:lang w:val="en-US"/>
        </w:rPr>
        <w:t>"</w:t>
      </w:r>
      <w:r w:rsidRPr="00FA135C">
        <w:rPr>
          <w:rStyle w:val="EndnoteReference"/>
          <w:lang w:val="en-US"/>
        </w:rPr>
        <w:endnoteReference w:id="17"/>
      </w:r>
      <w:r w:rsidR="00067AED" w:rsidRPr="00FA135C">
        <w:rPr>
          <w:lang w:val="en-US"/>
        </w:rPr>
        <w:t xml:space="preserve"> This distinction is the graveyard of modern revolts. As we have seen in the trajectory of the Arab Spring or the various "Square" movements of the 2010s, the sudden displacement of a regime’s leadership—the visible head of state power—often leaves the underlying infrastructure of the Repressive and Ideological Apparatuses entirely intact. The police, the courts, the mid-level bureaucracy, and the educational systems continue to function according to their internal capitalist logic, effectively absorbing the shock of the uprising and ensuring the reproduction of the old order under a new, "democratic" veneer.</w:t>
      </w:r>
    </w:p>
    <w:p w14:paraId="0E08949B" w14:textId="6F1B7CA6" w:rsidR="00067AED" w:rsidRPr="00FA135C" w:rsidRDefault="00067AED" w:rsidP="00661F57">
      <w:pPr>
        <w:pStyle w:val="NormalWeb"/>
        <w:spacing w:line="360" w:lineRule="auto"/>
        <w:ind w:firstLine="708"/>
        <w:jc w:val="both"/>
        <w:rPr>
          <w:lang w:val="en-US"/>
        </w:rPr>
      </w:pPr>
      <w:r w:rsidRPr="00FA135C">
        <w:rPr>
          <w:lang w:val="en-US"/>
        </w:rPr>
        <w:t xml:space="preserve">This phenomenon aligns with Franco </w:t>
      </w:r>
      <w:proofErr w:type="spellStart"/>
      <w:r w:rsidRPr="00FA135C">
        <w:rPr>
          <w:lang w:val="en-US"/>
        </w:rPr>
        <w:t>Bifo</w:t>
      </w:r>
      <w:proofErr w:type="spellEnd"/>
      <w:r w:rsidRPr="00FA135C">
        <w:rPr>
          <w:lang w:val="en-US"/>
        </w:rPr>
        <w:t xml:space="preserve"> Berardi’s observations regarding the exhaustion of the modern social imagination. Berardi suggests that despite the massive scale of contemporary protests, they often result in a "deadlock" where the frantic energy of the street fails to penetrate the "</w:t>
      </w:r>
      <w:proofErr w:type="spellStart"/>
      <w:r w:rsidRPr="00FA135C">
        <w:rPr>
          <w:lang w:val="en-US"/>
        </w:rPr>
        <w:t>semiocapitalist</w:t>
      </w:r>
      <w:proofErr w:type="spellEnd"/>
      <w:r w:rsidRPr="00FA135C">
        <w:rPr>
          <w:lang w:val="en-US"/>
        </w:rPr>
        <w:t>" machine</w:t>
      </w:r>
      <w:r w:rsidR="004D7659">
        <w:rPr>
          <w:lang w:val="en-US"/>
        </w:rPr>
        <w:t>.</w:t>
      </w:r>
      <w:r w:rsidR="00E862B6" w:rsidRPr="00FA135C">
        <w:rPr>
          <w:rStyle w:val="EndnoteReference"/>
          <w:lang w:val="en-US"/>
        </w:rPr>
        <w:endnoteReference w:id="18"/>
      </w:r>
      <w:r w:rsidRPr="00FA135C">
        <w:rPr>
          <w:lang w:val="en-US"/>
        </w:rPr>
        <w:t xml:space="preserve"> Here, Althusser provides the missing structural link: the reason nothing changes is that the "revolt" remains at the level of a demand for power, while the "apparatus" continues its silent work of reproducing the subject. This mirrors Enzo Traverso’s crucial separation between revolution and revolt. For Traverso, the "melancholy" of the modern left stems from the fact that we have many revolts</w:t>
      </w:r>
      <w:r w:rsidR="00E862B6" w:rsidRPr="00FA135C">
        <w:rPr>
          <w:lang w:val="en-US"/>
        </w:rPr>
        <w:t xml:space="preserve">; </w:t>
      </w:r>
      <w:r w:rsidRPr="00FA135C">
        <w:rPr>
          <w:lang w:val="en-US"/>
        </w:rPr>
        <w:t>explosive, unpredictable, and visually spectacular</w:t>
      </w:r>
      <w:r w:rsidR="00E862B6" w:rsidRPr="00FA135C">
        <w:rPr>
          <w:lang w:val="en-US"/>
        </w:rPr>
        <w:t xml:space="preserve">, </w:t>
      </w:r>
      <w:r w:rsidRPr="00FA135C">
        <w:rPr>
          <w:lang w:val="en-US"/>
        </w:rPr>
        <w:t>but very few revolutions.</w:t>
      </w:r>
      <w:r w:rsidR="00524069" w:rsidRPr="00FA135C">
        <w:rPr>
          <w:rStyle w:val="EndnoteReference"/>
          <w:lang w:val="en-US"/>
        </w:rPr>
        <w:endnoteReference w:id="19"/>
      </w:r>
      <w:r w:rsidRPr="00FA135C">
        <w:rPr>
          <w:lang w:val="en-US"/>
        </w:rPr>
        <w:t xml:space="preserve"> A revolution, in the </w:t>
      </w:r>
      <w:proofErr w:type="spellStart"/>
      <w:r w:rsidRPr="00FA135C">
        <w:rPr>
          <w:lang w:val="en-US"/>
        </w:rPr>
        <w:t>Althusserian</w:t>
      </w:r>
      <w:proofErr w:type="spellEnd"/>
      <w:r w:rsidRPr="00FA135C">
        <w:rPr>
          <w:lang w:val="en-US"/>
        </w:rPr>
        <w:t xml:space="preserve"> sense, is not a weekend in a public square; it is a protracted, material process of dismantling and replacing the specific apparatuses of reproduction.</w:t>
      </w:r>
    </w:p>
    <w:p w14:paraId="7D696CD2" w14:textId="69DB44E5" w:rsidR="007862FA" w:rsidRPr="00FA135C" w:rsidRDefault="00067AED" w:rsidP="007862FA">
      <w:pPr>
        <w:pStyle w:val="NormalWeb"/>
        <w:spacing w:line="360" w:lineRule="auto"/>
        <w:ind w:firstLine="708"/>
        <w:jc w:val="both"/>
        <w:rPr>
          <w:lang w:val="en-US"/>
        </w:rPr>
      </w:pPr>
      <w:r w:rsidRPr="00FA135C">
        <w:rPr>
          <w:lang w:val="en-US"/>
        </w:rPr>
        <w:t>The underlying mistake of contemporary conceptions of change</w:t>
      </w:r>
      <w:r w:rsidR="00E862B6" w:rsidRPr="00FA135C">
        <w:rPr>
          <w:lang w:val="en-US"/>
        </w:rPr>
        <w:t xml:space="preserve">, </w:t>
      </w:r>
      <w:r w:rsidRPr="00FA135C">
        <w:rPr>
          <w:lang w:val="en-US"/>
        </w:rPr>
        <w:t>most notably in Alain Badiou’s "logic of the event</w:t>
      </w:r>
      <w:r w:rsidR="007862FA">
        <w:rPr>
          <w:lang w:val="en-US"/>
        </w:rPr>
        <w:t>,</w:t>
      </w:r>
      <w:r w:rsidRPr="00FA135C">
        <w:rPr>
          <w:lang w:val="en-US"/>
        </w:rPr>
        <w:t>"</w:t>
      </w:r>
      <w:r w:rsidR="00E862B6" w:rsidRPr="00FA135C">
        <w:rPr>
          <w:lang w:val="en-US"/>
        </w:rPr>
        <w:t xml:space="preserve"> </w:t>
      </w:r>
      <w:r w:rsidRPr="00FA135C">
        <w:rPr>
          <w:lang w:val="en-US"/>
        </w:rPr>
        <w:t xml:space="preserve">is the assumption that a sudden rupture can, by the sheer force of its "truth," bypass the state. </w:t>
      </w:r>
      <w:proofErr w:type="spellStart"/>
      <w:r w:rsidRPr="00FA135C">
        <w:rPr>
          <w:lang w:val="en-US"/>
        </w:rPr>
        <w:t>Badiou</w:t>
      </w:r>
      <w:proofErr w:type="spellEnd"/>
      <w:r w:rsidRPr="00FA135C">
        <w:rPr>
          <w:lang w:val="en-US"/>
        </w:rPr>
        <w:t xml:space="preserve"> emphasizes the unpredictable, near-miraculous quality of the event, often at the expense of the boring, technical work of institutional transformation</w:t>
      </w:r>
      <w:r w:rsidR="004D7659">
        <w:rPr>
          <w:lang w:val="en-US"/>
        </w:rPr>
        <w:t>.</w:t>
      </w:r>
      <w:r w:rsidR="00E862B6" w:rsidRPr="00FA135C">
        <w:rPr>
          <w:rStyle w:val="EndnoteReference"/>
          <w:lang w:val="en-US"/>
        </w:rPr>
        <w:endnoteReference w:id="20"/>
      </w:r>
      <w:r w:rsidRPr="00FA135C">
        <w:rPr>
          <w:lang w:val="en-US"/>
        </w:rPr>
        <w:t xml:space="preserve"> By focusing on the "miracle" of the moment, this brand of theory falls into a dangerous voluntarism. It assumes that the state is a neutral vessel that can be easily pushed aside once </w:t>
      </w:r>
      <w:r w:rsidRPr="00FA135C">
        <w:rPr>
          <w:lang w:val="en-US"/>
        </w:rPr>
        <w:lastRenderedPageBreak/>
        <w:t>the "event" has occurred. Althusser serves as a necessary, if pessimistic, corrective to this. He demonstrates that because the state is an overdetermined complex of material practices, it cannot be defeated by a shift in political "will"</w:t>
      </w:r>
      <w:r w:rsidR="007862FA">
        <w:rPr>
          <w:lang w:val="en-US"/>
        </w:rPr>
        <w:t>.</w:t>
      </w:r>
    </w:p>
    <w:p w14:paraId="1115ECD3" w14:textId="444B3DFB" w:rsidR="00067AED" w:rsidRPr="00FA135C" w:rsidRDefault="00067AED" w:rsidP="00661F57">
      <w:pPr>
        <w:pStyle w:val="NormalWeb"/>
        <w:spacing w:line="360" w:lineRule="auto"/>
        <w:ind w:firstLine="708"/>
        <w:jc w:val="both"/>
        <w:rPr>
          <w:lang w:val="en-US"/>
        </w:rPr>
      </w:pPr>
      <w:r w:rsidRPr="00FA135C">
        <w:rPr>
          <w:lang w:val="en-US"/>
        </w:rPr>
        <w:t xml:space="preserve">Furthermore, Althusser’s relevance today lies in his understanding of the "permanence" of the Ideological State Apparatus. Even when the Repressive Apparatus (the police) is temporarily paralyzed by a mass movement, the Ideological Apparatuses (the family, the school, the media) continue to </w:t>
      </w:r>
      <w:proofErr w:type="spellStart"/>
      <w:r w:rsidRPr="00FA135C">
        <w:rPr>
          <w:lang w:val="en-US"/>
        </w:rPr>
        <w:t>interpellate</w:t>
      </w:r>
      <w:proofErr w:type="spellEnd"/>
      <w:r w:rsidRPr="00FA135C">
        <w:rPr>
          <w:lang w:val="en-US"/>
        </w:rPr>
        <w:t xml:space="preserve"> individuals into their roles as capitalist subjects. This is why, as we saw in Egypt or Greece, a "radical" moment can be so quickly followed by a return to "business as usual</w:t>
      </w:r>
      <w:r w:rsidR="007862FA">
        <w:rPr>
          <w:lang w:val="en-US"/>
        </w:rPr>
        <w:t>.</w:t>
      </w:r>
      <w:r w:rsidRPr="00FA135C">
        <w:rPr>
          <w:lang w:val="en-US"/>
        </w:rPr>
        <w:t>" The subjects of the revolt are still, in their daily habits and economic dependencies, the subjects of the state.</w:t>
      </w:r>
    </w:p>
    <w:p w14:paraId="112B2390" w14:textId="520584D7" w:rsidR="00067AED" w:rsidRPr="00FA135C" w:rsidRDefault="00067AED" w:rsidP="00661F57">
      <w:pPr>
        <w:pStyle w:val="NormalWeb"/>
        <w:spacing w:line="360" w:lineRule="auto"/>
        <w:ind w:firstLine="708"/>
        <w:jc w:val="both"/>
        <w:rPr>
          <w:lang w:val="en-US"/>
        </w:rPr>
      </w:pPr>
      <w:r w:rsidRPr="00FA135C">
        <w:rPr>
          <w:lang w:val="en-US"/>
        </w:rPr>
        <w:t>To "rethink" Althusser in the 21st century is to acknowledge that the state is not an external enemy that can be toppled like a statue. It is a distributed network that manages the very rhythm of our lives. If we ignore the "process" of reproduction and chase only the "glory" of the rupture, we remain trapped in a cycle of spectacular revolts that leave the machinery of the state standing exactly where it was before. Real change requires a strategy that is as "boring" and "material" as the state itself</w:t>
      </w:r>
      <w:r w:rsidR="000D3428" w:rsidRPr="00FA135C">
        <w:rPr>
          <w:lang w:val="en-US"/>
        </w:rPr>
        <w:t xml:space="preserve">, </w:t>
      </w:r>
      <w:r w:rsidRPr="00FA135C">
        <w:rPr>
          <w:lang w:val="en-US"/>
        </w:rPr>
        <w:t>a strategy that targets the school and the law as much as it targets the parliament.</w:t>
      </w:r>
    </w:p>
    <w:p w14:paraId="0E360199" w14:textId="6441739A" w:rsidR="006D04D9" w:rsidRPr="00FA135C" w:rsidRDefault="006D04D9" w:rsidP="006D04D9">
      <w:pPr>
        <w:pStyle w:val="NormalWeb"/>
        <w:spacing w:line="360" w:lineRule="auto"/>
        <w:jc w:val="both"/>
        <w:rPr>
          <w:b/>
          <w:bCs/>
          <w:lang w:val="en-US"/>
        </w:rPr>
      </w:pPr>
      <w:r w:rsidRPr="00FA135C">
        <w:rPr>
          <w:b/>
          <w:bCs/>
          <w:lang w:val="en-US"/>
        </w:rPr>
        <w:t>Conclusion</w:t>
      </w:r>
    </w:p>
    <w:p w14:paraId="6405CE8B" w14:textId="77777777" w:rsidR="006D04D9" w:rsidRPr="00FA135C" w:rsidRDefault="006D04D9" w:rsidP="006D04D9">
      <w:pPr>
        <w:pStyle w:val="NormalWeb"/>
        <w:spacing w:line="360" w:lineRule="auto"/>
        <w:jc w:val="both"/>
        <w:rPr>
          <w:lang w:val="en-US"/>
        </w:rPr>
      </w:pPr>
      <w:r w:rsidRPr="00FA135C">
        <w:rPr>
          <w:lang w:val="en-US"/>
        </w:rPr>
        <w:t xml:space="preserve">To conclude this re-evaluation of </w:t>
      </w:r>
      <w:proofErr w:type="spellStart"/>
      <w:r w:rsidRPr="00FA135C">
        <w:rPr>
          <w:lang w:val="en-US"/>
        </w:rPr>
        <w:t>Althusserian</w:t>
      </w:r>
      <w:proofErr w:type="spellEnd"/>
      <w:r w:rsidRPr="00FA135C">
        <w:rPr>
          <w:lang w:val="en-US"/>
        </w:rPr>
        <w:t xml:space="preserve"> state theory, we must return to the central tension that has animated the entire discussion: the state is not a thing to be seized, but a strategy to be dismantled. By moving beyond the binary of coercion and ideology, and by integrating the structural insights of the Miliband-</w:t>
      </w:r>
      <w:proofErr w:type="spellStart"/>
      <w:r w:rsidRPr="00FA135C">
        <w:rPr>
          <w:lang w:val="en-US"/>
        </w:rPr>
        <w:t>Poulantzas</w:t>
      </w:r>
      <w:proofErr w:type="spellEnd"/>
      <w:r w:rsidRPr="00FA135C">
        <w:rPr>
          <w:lang w:val="en-US"/>
        </w:rPr>
        <w:t xml:space="preserve"> debate with the contemporary "melancholy" of the failed event, we arrive at a more rigorous understanding of why the capitalist social formation is so resilient. Althusser’s enduring contribution is his refusal to allow us the luxury of a "pure" revolutionary moment. He forces us to recognize that the state is an overdetermined complex of material apparatuses that reproduces the conditions of production long after the "guards have been changed" at the palace gates.</w:t>
      </w:r>
    </w:p>
    <w:p w14:paraId="4DD18F59" w14:textId="555D1AB0" w:rsidR="006D04D9" w:rsidRPr="00FA135C" w:rsidRDefault="006D04D9" w:rsidP="00661F57">
      <w:pPr>
        <w:pStyle w:val="NormalWeb"/>
        <w:spacing w:line="360" w:lineRule="auto"/>
        <w:ind w:firstLine="708"/>
        <w:jc w:val="both"/>
        <w:rPr>
          <w:lang w:val="en-US"/>
        </w:rPr>
      </w:pPr>
      <w:r w:rsidRPr="00FA135C">
        <w:rPr>
          <w:lang w:val="en-US"/>
        </w:rPr>
        <w:t>The "</w:t>
      </w:r>
      <w:r w:rsidR="000D3428" w:rsidRPr="00FA135C">
        <w:rPr>
          <w:lang w:val="en-US"/>
        </w:rPr>
        <w:t>r</w:t>
      </w:r>
      <w:r w:rsidRPr="00FA135C">
        <w:rPr>
          <w:lang w:val="en-US"/>
        </w:rPr>
        <w:t>ethinking" of Althusser proposed here suggests that any political project failing to account for the inertia of the apparatus is destined to remain a mere revolt</w:t>
      </w:r>
      <w:r w:rsidR="000D3428" w:rsidRPr="00FA135C">
        <w:rPr>
          <w:lang w:val="en-US"/>
        </w:rPr>
        <w:t xml:space="preserve">; </w:t>
      </w:r>
      <w:r w:rsidRPr="00FA135C">
        <w:rPr>
          <w:lang w:val="en-US"/>
        </w:rPr>
        <w:t xml:space="preserve">a temporary rupture that the state is perfectly designed to absorb. As Enzo Traverso and </w:t>
      </w:r>
      <w:proofErr w:type="spellStart"/>
      <w:r w:rsidRPr="00FA135C">
        <w:rPr>
          <w:lang w:val="en-US"/>
        </w:rPr>
        <w:t>Bifo</w:t>
      </w:r>
      <w:proofErr w:type="spellEnd"/>
      <w:r w:rsidRPr="00FA135C">
        <w:rPr>
          <w:lang w:val="en-US"/>
        </w:rPr>
        <w:t xml:space="preserve"> Berardi have </w:t>
      </w:r>
      <w:r w:rsidRPr="00FA135C">
        <w:rPr>
          <w:lang w:val="en-US"/>
        </w:rPr>
        <w:lastRenderedPageBreak/>
        <w:t>signaled in the wake of the 2010s uprisings, the "event" without a corresponding "process" of institutional and ideological transformation is a hollow victory. The school, the law, and the family continue their silent work of interpellation, ensuring that the "subject" of the new regime remains, in practice and in habit, the subject of the old economic base.</w:t>
      </w:r>
    </w:p>
    <w:p w14:paraId="7174145B" w14:textId="30E68B5B" w:rsidR="00BD5649" w:rsidRPr="00FA135C" w:rsidRDefault="006D04D9" w:rsidP="00661F57">
      <w:pPr>
        <w:pStyle w:val="NormalWeb"/>
        <w:spacing w:line="360" w:lineRule="auto"/>
        <w:ind w:firstLine="708"/>
        <w:jc w:val="both"/>
        <w:rPr>
          <w:lang w:val="en-US"/>
        </w:rPr>
      </w:pPr>
      <w:r w:rsidRPr="00FA135C">
        <w:rPr>
          <w:lang w:val="en-US"/>
        </w:rPr>
        <w:t xml:space="preserve">Ultimately, the </w:t>
      </w:r>
      <w:proofErr w:type="spellStart"/>
      <w:r w:rsidRPr="00FA135C">
        <w:rPr>
          <w:lang w:val="en-US"/>
        </w:rPr>
        <w:t>Althusserian</w:t>
      </w:r>
      <w:proofErr w:type="spellEnd"/>
      <w:r w:rsidRPr="00FA135C">
        <w:rPr>
          <w:lang w:val="en-US"/>
        </w:rPr>
        <w:t xml:space="preserve"> framework reminds us that the "lonely hour of the last instance" is a theoretical horizon, not a historical shortcut. The struggle against the state is a struggle against the very infrastructure of our social reality. It is a slow, technical, and often "boring" labor of counter-reproduction. By recognizing that the state is both "out there" in the RSA and "in here" in the ISA, we move closer to a comprehensive strategy for change</w:t>
      </w:r>
      <w:r w:rsidR="000D3428" w:rsidRPr="00FA135C">
        <w:rPr>
          <w:lang w:val="en-US"/>
        </w:rPr>
        <w:t xml:space="preserve">: </w:t>
      </w:r>
      <w:r w:rsidRPr="00FA135C">
        <w:rPr>
          <w:lang w:val="en-US"/>
        </w:rPr>
        <w:t>one that understands that to transform society, we must do more than just change its leaders; we must rewrite the very rituals through which we are called into existence as subjects of capital.</w:t>
      </w:r>
    </w:p>
    <w:p w14:paraId="10965970" w14:textId="77777777" w:rsidR="004860CC" w:rsidRPr="00FA135C" w:rsidRDefault="004860CC">
      <w:pPr>
        <w:rPr>
          <w:lang w:val="en-US"/>
        </w:rPr>
      </w:pPr>
    </w:p>
    <w:sectPr w:rsidR="004860CC" w:rsidRPr="00FA135C">
      <w:footerReference w:type="even" r:id="rId7"/>
      <w:footerReference w:type="default" r:id="rId8"/>
      <w:endnotePr>
        <w:numFmt w:val="decimal"/>
      </w:end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6A7DD3" w14:textId="77777777" w:rsidR="0032582D" w:rsidRDefault="0032582D" w:rsidP="00F062E3">
      <w:pPr>
        <w:spacing w:after="0" w:line="240" w:lineRule="auto"/>
      </w:pPr>
      <w:r>
        <w:separator/>
      </w:r>
    </w:p>
  </w:endnote>
  <w:endnote w:type="continuationSeparator" w:id="0">
    <w:p w14:paraId="504CECD3" w14:textId="77777777" w:rsidR="0032582D" w:rsidRDefault="0032582D" w:rsidP="00F062E3">
      <w:pPr>
        <w:spacing w:after="0" w:line="240" w:lineRule="auto"/>
      </w:pPr>
      <w:r>
        <w:continuationSeparator/>
      </w:r>
    </w:p>
  </w:endnote>
  <w:endnote w:id="1">
    <w:p w14:paraId="1EFAAF9D" w14:textId="2EF6F6DE" w:rsidR="00F062E3" w:rsidRPr="00216B44" w:rsidRDefault="00F062E3" w:rsidP="00216B44">
      <w:pPr>
        <w:pStyle w:val="EndnoteText"/>
        <w:jc w:val="both"/>
        <w:rPr>
          <w:rFonts w:ascii="Times New Roman" w:hAnsi="Times New Roman" w:cs="Times New Roman"/>
          <w:lang w:val="en-US"/>
        </w:rPr>
      </w:pPr>
      <w:r w:rsidRPr="00216B44">
        <w:rPr>
          <w:rStyle w:val="EndnoteReference"/>
          <w:rFonts w:ascii="Times New Roman" w:hAnsi="Times New Roman" w:cs="Times New Roman"/>
          <w:lang w:val="en-US"/>
        </w:rPr>
        <w:endnoteRef/>
      </w:r>
      <w:r w:rsidR="00912DFC" w:rsidRPr="00216B44">
        <w:rPr>
          <w:rFonts w:ascii="Times New Roman" w:hAnsi="Times New Roman" w:cs="Times New Roman"/>
          <w:lang w:val="en-US"/>
        </w:rPr>
        <w:t xml:space="preserve"> Warren Montag, </w:t>
      </w:r>
      <w:r w:rsidR="00912DFC" w:rsidRPr="00DD43EB">
        <w:rPr>
          <w:rFonts w:ascii="Times New Roman" w:hAnsi="Times New Roman" w:cs="Times New Roman"/>
          <w:b/>
          <w:bCs/>
          <w:lang w:val="en-US"/>
        </w:rPr>
        <w:t>Althusser and His Contemporaries: Philosophy’s Perpetual War</w:t>
      </w:r>
      <w:r w:rsidR="00912DFC" w:rsidRPr="00216B44">
        <w:rPr>
          <w:rFonts w:ascii="Times New Roman" w:hAnsi="Times New Roman" w:cs="Times New Roman"/>
          <w:lang w:val="en-US"/>
        </w:rPr>
        <w:t>, Duke University Press, 2013, p</w:t>
      </w:r>
      <w:r w:rsidR="00E14489">
        <w:rPr>
          <w:rFonts w:ascii="Times New Roman" w:hAnsi="Times New Roman" w:cs="Times New Roman"/>
          <w:lang w:val="en-US"/>
        </w:rPr>
        <w:t xml:space="preserve">. </w:t>
      </w:r>
      <w:r w:rsidR="00912DFC" w:rsidRPr="00216B44">
        <w:rPr>
          <w:rFonts w:ascii="Times New Roman" w:hAnsi="Times New Roman" w:cs="Times New Roman"/>
          <w:lang w:val="en-US"/>
        </w:rPr>
        <w:t>1.</w:t>
      </w:r>
    </w:p>
  </w:endnote>
  <w:endnote w:id="2">
    <w:p w14:paraId="3C579E01" w14:textId="03083F29" w:rsidR="00F062E3" w:rsidRPr="00F062E3" w:rsidRDefault="00F062E3" w:rsidP="00216B44">
      <w:pPr>
        <w:pStyle w:val="EndnoteText"/>
        <w:jc w:val="both"/>
        <w:rPr>
          <w:lang w:val="tr-TR"/>
        </w:rPr>
      </w:pPr>
      <w:r w:rsidRPr="00216B44">
        <w:rPr>
          <w:rStyle w:val="EndnoteReference"/>
          <w:rFonts w:ascii="Times New Roman" w:hAnsi="Times New Roman" w:cs="Times New Roman"/>
          <w:lang w:val="en-US"/>
        </w:rPr>
        <w:endnoteRef/>
      </w:r>
      <w:r w:rsidRPr="00216B44">
        <w:rPr>
          <w:rFonts w:ascii="Times New Roman" w:hAnsi="Times New Roman" w:cs="Times New Roman"/>
          <w:lang w:val="en-US"/>
        </w:rPr>
        <w:t xml:space="preserve"> </w:t>
      </w:r>
      <w:r w:rsidR="001A7446" w:rsidRPr="00216B44">
        <w:rPr>
          <w:rFonts w:ascii="Times New Roman" w:hAnsi="Times New Roman" w:cs="Times New Roman"/>
          <w:lang w:val="en-US"/>
        </w:rPr>
        <w:t>Although it’s not our main concern here, his formulation of history as a process without subject arises myriad of criti</w:t>
      </w:r>
      <w:r w:rsidR="00216B44" w:rsidRPr="00216B44">
        <w:rPr>
          <w:rFonts w:ascii="Times New Roman" w:hAnsi="Times New Roman" w:cs="Times New Roman"/>
          <w:lang w:val="en-US"/>
        </w:rPr>
        <w:t xml:space="preserve">ques. The difficulty of conceptualize struggle and change: Alex Callinicos, </w:t>
      </w:r>
      <w:r w:rsidR="00216B44" w:rsidRPr="00DD43EB">
        <w:rPr>
          <w:rFonts w:ascii="Times New Roman" w:hAnsi="Times New Roman" w:cs="Times New Roman"/>
          <w:b/>
          <w:bCs/>
          <w:lang w:val="en-US"/>
        </w:rPr>
        <w:t>Making History</w:t>
      </w:r>
      <w:r w:rsidR="00DD43EB">
        <w:rPr>
          <w:rFonts w:ascii="Times New Roman" w:hAnsi="Times New Roman" w:cs="Times New Roman"/>
          <w:lang w:val="en-US"/>
        </w:rPr>
        <w:t xml:space="preserve">, </w:t>
      </w:r>
      <w:r w:rsidR="00216B44" w:rsidRPr="00216B44">
        <w:rPr>
          <w:rFonts w:ascii="Times New Roman" w:hAnsi="Times New Roman" w:cs="Times New Roman"/>
          <w:lang w:val="en-US"/>
        </w:rPr>
        <w:t xml:space="preserve">London: Polity Press, 1987, p.3, The difficulty of the emergence of any oppositional subject, due to priority of structure over agency: Ibid, p. 155, 236 and Ted Benton, </w:t>
      </w:r>
      <w:r w:rsidR="00216B44" w:rsidRPr="00DD43EB">
        <w:rPr>
          <w:rFonts w:ascii="Times New Roman" w:hAnsi="Times New Roman" w:cs="Times New Roman"/>
          <w:b/>
          <w:bCs/>
          <w:lang w:val="en-US"/>
        </w:rPr>
        <w:t>The Rise and Fall of Structural Marxism</w:t>
      </w:r>
      <w:r w:rsidR="00DD43EB">
        <w:rPr>
          <w:rFonts w:ascii="Times New Roman" w:hAnsi="Times New Roman" w:cs="Times New Roman"/>
          <w:lang w:val="en-US"/>
        </w:rPr>
        <w:t>,</w:t>
      </w:r>
      <w:r w:rsidR="00216B44" w:rsidRPr="00216B44">
        <w:rPr>
          <w:rFonts w:ascii="Times New Roman" w:hAnsi="Times New Roman" w:cs="Times New Roman"/>
          <w:lang w:val="en-US"/>
        </w:rPr>
        <w:t xml:space="preserve"> London: MacMillanp, 1984, p.</w:t>
      </w:r>
      <w:r w:rsidR="00E14489">
        <w:rPr>
          <w:rFonts w:ascii="Times New Roman" w:hAnsi="Times New Roman" w:cs="Times New Roman"/>
          <w:lang w:val="en-US"/>
        </w:rPr>
        <w:t xml:space="preserve"> </w:t>
      </w:r>
      <w:r w:rsidR="00216B44" w:rsidRPr="00216B44">
        <w:rPr>
          <w:rFonts w:ascii="Times New Roman" w:hAnsi="Times New Roman" w:cs="Times New Roman"/>
          <w:lang w:val="en-US"/>
        </w:rPr>
        <w:t>139.</w:t>
      </w:r>
    </w:p>
  </w:endnote>
  <w:endnote w:id="3">
    <w:p w14:paraId="0158FBA9" w14:textId="40E83E68" w:rsidR="00B506BC" w:rsidRPr="004C29EB" w:rsidRDefault="00B506BC" w:rsidP="00B506BC">
      <w:pPr>
        <w:pStyle w:val="EndnoteText"/>
        <w:jc w:val="both"/>
        <w:rPr>
          <w:rFonts w:ascii="Times New Roman" w:hAnsi="Times New Roman" w:cs="Times New Roman"/>
          <w:lang w:val="en-US"/>
        </w:rPr>
      </w:pPr>
      <w:r w:rsidRPr="004C29EB">
        <w:rPr>
          <w:rStyle w:val="EndnoteReference"/>
          <w:rFonts w:ascii="Times New Roman" w:hAnsi="Times New Roman" w:cs="Times New Roman"/>
          <w:lang w:val="en-US"/>
        </w:rPr>
        <w:endnoteRef/>
      </w:r>
      <w:r w:rsidRPr="004C29EB">
        <w:rPr>
          <w:rFonts w:ascii="Times New Roman" w:hAnsi="Times New Roman" w:cs="Times New Roman"/>
          <w:lang w:val="en-US"/>
        </w:rPr>
        <w:t xml:space="preserve"> </w:t>
      </w:r>
      <w:r w:rsidR="004C29EB" w:rsidRPr="004C29EB">
        <w:rPr>
          <w:rFonts w:ascii="Times New Roman" w:hAnsi="Times New Roman" w:cs="Times New Roman"/>
          <w:lang w:val="en-US"/>
        </w:rPr>
        <w:t xml:space="preserve">I am using the term in its specific Althusserian sense to describe the process through which ideology creates and pre-figures social subjects. Rather than seeking the consent of already autonomous individuals, ideology "hails" concrete individuals into predefined social roles before they can reflect on them. As Althusser formulates it: I shall then suggest that ideology ‘acts’ or ‘functions’ in such a way that it ‘recruits’ subjects among the individuals (it recruits them all), or ‘transforms’ the individuals into subjects (it transforms them all) by that very precise operation which I have called interpellation or hailing, and which can be imagined along the lines of the most commonplace everyday police (or other) hailing: “Hey, you there!” Louis Althusser, </w:t>
      </w:r>
      <w:r w:rsidR="004C29EB" w:rsidRPr="004C29EB">
        <w:rPr>
          <w:rFonts w:ascii="Times New Roman" w:hAnsi="Times New Roman" w:cs="Times New Roman"/>
          <w:b/>
          <w:bCs/>
          <w:lang w:val="en-US"/>
        </w:rPr>
        <w:t>Lenin and Philosophy</w:t>
      </w:r>
      <w:r w:rsidR="004C29EB" w:rsidRPr="004C29EB">
        <w:rPr>
          <w:rFonts w:ascii="Times New Roman" w:hAnsi="Times New Roman" w:cs="Times New Roman"/>
          <w:lang w:val="en-US"/>
        </w:rPr>
        <w:t xml:space="preserve">, </w:t>
      </w:r>
      <w:r w:rsidR="004C29EB">
        <w:rPr>
          <w:rFonts w:ascii="Times New Roman" w:hAnsi="Times New Roman" w:cs="Times New Roman"/>
          <w:lang w:val="en-US"/>
        </w:rPr>
        <w:t xml:space="preserve">Trans. Ben Brewster, Monthly Review Press, 2001, </w:t>
      </w:r>
      <w:r w:rsidR="004C29EB" w:rsidRPr="004C29EB">
        <w:rPr>
          <w:rFonts w:ascii="Times New Roman" w:hAnsi="Times New Roman" w:cs="Times New Roman"/>
          <w:lang w:val="en-US"/>
        </w:rPr>
        <w:t>p. 118.</w:t>
      </w:r>
    </w:p>
  </w:endnote>
  <w:endnote w:id="4">
    <w:p w14:paraId="443F37DA" w14:textId="5279FEF4" w:rsidR="009A35B3" w:rsidRPr="00762003" w:rsidRDefault="009A35B3" w:rsidP="00762003">
      <w:pPr>
        <w:pStyle w:val="EndnoteText"/>
        <w:jc w:val="both"/>
        <w:rPr>
          <w:rFonts w:ascii="Times New Roman" w:hAnsi="Times New Roman" w:cs="Times New Roman"/>
          <w:lang w:val="en-US"/>
        </w:rPr>
      </w:pPr>
      <w:r w:rsidRPr="00762003">
        <w:rPr>
          <w:rStyle w:val="EndnoteReference"/>
          <w:rFonts w:ascii="Times New Roman" w:hAnsi="Times New Roman" w:cs="Times New Roman"/>
          <w:lang w:val="en-US"/>
        </w:rPr>
        <w:endnoteRef/>
      </w:r>
      <w:r w:rsidRPr="00762003">
        <w:rPr>
          <w:rFonts w:ascii="Times New Roman" w:hAnsi="Times New Roman" w:cs="Times New Roman"/>
          <w:lang w:val="en-US"/>
        </w:rPr>
        <w:t xml:space="preserve"> Louis Althusser, </w:t>
      </w:r>
      <w:r w:rsidRPr="00DD43EB">
        <w:rPr>
          <w:rFonts w:ascii="Times New Roman" w:hAnsi="Times New Roman" w:cs="Times New Roman"/>
          <w:b/>
          <w:bCs/>
          <w:lang w:val="en-US"/>
        </w:rPr>
        <w:t>On the Reproduction of Capitalism</w:t>
      </w:r>
      <w:r w:rsidR="00760FD0" w:rsidRPr="00DD43EB">
        <w:rPr>
          <w:rFonts w:ascii="Times New Roman" w:hAnsi="Times New Roman" w:cs="Times New Roman"/>
          <w:b/>
          <w:bCs/>
          <w:lang w:val="en-US"/>
        </w:rPr>
        <w:t>: Ideology and Ideological State Apparatuses</w:t>
      </w:r>
      <w:r w:rsidRPr="00762003">
        <w:rPr>
          <w:rFonts w:ascii="Times New Roman" w:hAnsi="Times New Roman" w:cs="Times New Roman"/>
          <w:lang w:val="en-US"/>
        </w:rPr>
        <w:t xml:space="preserve">, </w:t>
      </w:r>
      <w:r w:rsidR="00E14489" w:rsidRPr="00762003">
        <w:rPr>
          <w:rFonts w:ascii="Times New Roman" w:hAnsi="Times New Roman" w:cs="Times New Roman"/>
          <w:lang w:val="en-US"/>
        </w:rPr>
        <w:t>Trans. G. M. Goshgarian, Verso, 2014, p.</w:t>
      </w:r>
      <w:r w:rsidRPr="00762003">
        <w:rPr>
          <w:rFonts w:ascii="Times New Roman" w:hAnsi="Times New Roman" w:cs="Times New Roman"/>
          <w:lang w:val="en-US"/>
        </w:rPr>
        <w:t>140-147</w:t>
      </w:r>
      <w:r w:rsidR="00E14489" w:rsidRPr="00762003">
        <w:rPr>
          <w:rFonts w:ascii="Times New Roman" w:hAnsi="Times New Roman" w:cs="Times New Roman"/>
          <w:lang w:val="en-US"/>
        </w:rPr>
        <w:t xml:space="preserve">, The original: Louis Althusser, </w:t>
      </w:r>
      <w:r w:rsidR="00E14489" w:rsidRPr="00DD43EB">
        <w:rPr>
          <w:rFonts w:ascii="Times New Roman" w:hAnsi="Times New Roman" w:cs="Times New Roman"/>
          <w:b/>
          <w:bCs/>
          <w:lang w:val="en-US"/>
        </w:rPr>
        <w:t>Sur la reproduction</w:t>
      </w:r>
      <w:r w:rsidR="00E14489" w:rsidRPr="00762003">
        <w:rPr>
          <w:rFonts w:ascii="Times New Roman" w:hAnsi="Times New Roman" w:cs="Times New Roman"/>
          <w:lang w:val="en-US"/>
        </w:rPr>
        <w:t>, PUB, 1995, p.</w:t>
      </w:r>
      <w:r w:rsidRPr="00762003">
        <w:rPr>
          <w:rFonts w:ascii="Times New Roman" w:hAnsi="Times New Roman" w:cs="Times New Roman"/>
          <w:lang w:val="en-US"/>
        </w:rPr>
        <w:t xml:space="preserve"> 74-79</w:t>
      </w:r>
      <w:r w:rsidR="00E14489" w:rsidRPr="00762003">
        <w:rPr>
          <w:rFonts w:ascii="Times New Roman" w:hAnsi="Times New Roman" w:cs="Times New Roman"/>
          <w:lang w:val="en-US"/>
        </w:rPr>
        <w:t>.</w:t>
      </w:r>
    </w:p>
  </w:endnote>
  <w:endnote w:id="5">
    <w:p w14:paraId="4CCF9D4B" w14:textId="115BC6EF" w:rsidR="00760FD0" w:rsidRPr="00762003" w:rsidRDefault="00760FD0" w:rsidP="00762003">
      <w:pPr>
        <w:pStyle w:val="EndnoteText"/>
        <w:jc w:val="both"/>
        <w:rPr>
          <w:rFonts w:ascii="Times New Roman" w:hAnsi="Times New Roman" w:cs="Times New Roman"/>
          <w:lang w:val="en-US"/>
        </w:rPr>
      </w:pPr>
      <w:r w:rsidRPr="00762003">
        <w:rPr>
          <w:rStyle w:val="EndnoteReference"/>
          <w:rFonts w:ascii="Times New Roman" w:hAnsi="Times New Roman" w:cs="Times New Roman"/>
          <w:lang w:val="en-US"/>
        </w:rPr>
        <w:endnoteRef/>
      </w:r>
      <w:r w:rsidRPr="00762003">
        <w:rPr>
          <w:rFonts w:ascii="Times New Roman" w:hAnsi="Times New Roman" w:cs="Times New Roman"/>
          <w:lang w:val="en-US"/>
        </w:rPr>
        <w:t xml:space="preserve"> Louis Althusser, </w:t>
      </w:r>
      <w:r w:rsidRPr="00DD43EB">
        <w:rPr>
          <w:rFonts w:ascii="Times New Roman" w:hAnsi="Times New Roman" w:cs="Times New Roman"/>
          <w:b/>
          <w:bCs/>
          <w:lang w:val="en-US"/>
        </w:rPr>
        <w:t>On the Reproduction of Capitalism: Ideology and Ideological State Apparatuses</w:t>
      </w:r>
      <w:r w:rsidRPr="00762003">
        <w:rPr>
          <w:rFonts w:ascii="Times New Roman" w:hAnsi="Times New Roman" w:cs="Times New Roman"/>
          <w:lang w:val="en-US"/>
        </w:rPr>
        <w:t>, p. 258.</w:t>
      </w:r>
    </w:p>
  </w:endnote>
  <w:endnote w:id="6">
    <w:p w14:paraId="7329C3E7" w14:textId="4CA7E275" w:rsidR="00F062E3" w:rsidRPr="00762003" w:rsidRDefault="00F062E3" w:rsidP="00762003">
      <w:pPr>
        <w:pStyle w:val="EndnoteText"/>
        <w:jc w:val="both"/>
        <w:rPr>
          <w:rFonts w:ascii="Times New Roman" w:hAnsi="Times New Roman" w:cs="Times New Roman"/>
          <w:lang w:val="en-US"/>
        </w:rPr>
      </w:pPr>
      <w:r w:rsidRPr="00762003">
        <w:rPr>
          <w:rStyle w:val="EndnoteReference"/>
          <w:rFonts w:ascii="Times New Roman" w:hAnsi="Times New Roman" w:cs="Times New Roman"/>
          <w:lang w:val="en-US"/>
        </w:rPr>
        <w:endnoteRef/>
      </w:r>
      <w:r w:rsidRPr="00762003">
        <w:rPr>
          <w:rFonts w:ascii="Times New Roman" w:hAnsi="Times New Roman" w:cs="Times New Roman"/>
          <w:lang w:val="en-US"/>
        </w:rPr>
        <w:t xml:space="preserve"> </w:t>
      </w:r>
      <w:r w:rsidR="00A72A20" w:rsidRPr="00762003">
        <w:rPr>
          <w:rFonts w:ascii="Times New Roman" w:hAnsi="Times New Roman" w:cs="Times New Roman"/>
          <w:lang w:val="en-US"/>
        </w:rPr>
        <w:t>Ibid., p. 70.</w:t>
      </w:r>
    </w:p>
  </w:endnote>
  <w:endnote w:id="7">
    <w:p w14:paraId="68E65E2C" w14:textId="14E0C89A" w:rsidR="00F062E3" w:rsidRPr="00762003" w:rsidRDefault="00F062E3" w:rsidP="00762003">
      <w:pPr>
        <w:pStyle w:val="EndnoteText"/>
        <w:jc w:val="both"/>
        <w:rPr>
          <w:rFonts w:ascii="Times New Roman" w:hAnsi="Times New Roman" w:cs="Times New Roman"/>
          <w:lang w:val="en-US"/>
        </w:rPr>
      </w:pPr>
      <w:r w:rsidRPr="00762003">
        <w:rPr>
          <w:rStyle w:val="EndnoteReference"/>
          <w:rFonts w:ascii="Times New Roman" w:hAnsi="Times New Roman" w:cs="Times New Roman"/>
          <w:lang w:val="en-US"/>
        </w:rPr>
        <w:endnoteRef/>
      </w:r>
      <w:r w:rsidRPr="00762003">
        <w:rPr>
          <w:rFonts w:ascii="Times New Roman" w:hAnsi="Times New Roman" w:cs="Times New Roman"/>
          <w:lang w:val="en-US"/>
        </w:rPr>
        <w:t xml:space="preserve"> </w:t>
      </w:r>
      <w:r w:rsidR="00A72A20" w:rsidRPr="00762003">
        <w:rPr>
          <w:rFonts w:ascii="Times New Roman" w:hAnsi="Times New Roman" w:cs="Times New Roman"/>
          <w:lang w:val="en-US"/>
        </w:rPr>
        <w:t>Ibid., p. 75</w:t>
      </w:r>
    </w:p>
  </w:endnote>
  <w:endnote w:id="8">
    <w:p w14:paraId="454915A9" w14:textId="54B8D9C1" w:rsidR="009E3433" w:rsidRPr="00762003" w:rsidRDefault="009E3433" w:rsidP="00762003">
      <w:pPr>
        <w:pStyle w:val="EndnoteText"/>
        <w:jc w:val="both"/>
        <w:rPr>
          <w:rFonts w:ascii="Times New Roman" w:hAnsi="Times New Roman" w:cs="Times New Roman"/>
          <w:lang w:val="en-US"/>
        </w:rPr>
      </w:pPr>
      <w:r w:rsidRPr="00762003">
        <w:rPr>
          <w:rStyle w:val="EndnoteReference"/>
          <w:rFonts w:ascii="Times New Roman" w:hAnsi="Times New Roman" w:cs="Times New Roman"/>
          <w:lang w:val="en-US"/>
        </w:rPr>
        <w:endnoteRef/>
      </w:r>
      <w:r w:rsidRPr="00762003">
        <w:rPr>
          <w:rFonts w:ascii="Times New Roman" w:hAnsi="Times New Roman" w:cs="Times New Roman"/>
          <w:lang w:val="en-US"/>
        </w:rPr>
        <w:t xml:space="preserve"> </w:t>
      </w:r>
      <w:r w:rsidR="00D91EC5" w:rsidRPr="00762003">
        <w:rPr>
          <w:rFonts w:ascii="Times New Roman" w:hAnsi="Times New Roman" w:cs="Times New Roman"/>
          <w:lang w:val="en-US"/>
        </w:rPr>
        <w:t>Ibid., p. 86.</w:t>
      </w:r>
    </w:p>
  </w:endnote>
  <w:endnote w:id="9">
    <w:p w14:paraId="08920F3F" w14:textId="6B46307B" w:rsidR="004623F7" w:rsidRPr="00762003" w:rsidRDefault="004623F7" w:rsidP="00762003">
      <w:pPr>
        <w:pStyle w:val="EndnoteText"/>
        <w:jc w:val="both"/>
        <w:rPr>
          <w:rFonts w:ascii="Times New Roman" w:hAnsi="Times New Roman" w:cs="Times New Roman"/>
          <w:lang w:val="en-US"/>
        </w:rPr>
      </w:pPr>
      <w:r w:rsidRPr="00762003">
        <w:rPr>
          <w:rStyle w:val="EndnoteReference"/>
          <w:rFonts w:ascii="Times New Roman" w:hAnsi="Times New Roman" w:cs="Times New Roman"/>
          <w:lang w:val="en-US"/>
        </w:rPr>
        <w:endnoteRef/>
      </w:r>
      <w:r w:rsidRPr="00762003">
        <w:rPr>
          <w:rFonts w:ascii="Times New Roman" w:hAnsi="Times New Roman" w:cs="Times New Roman"/>
          <w:lang w:val="en-US"/>
        </w:rPr>
        <w:t xml:space="preserve"> E. P. Thompson, </w:t>
      </w:r>
      <w:r w:rsidRPr="00DD43EB">
        <w:rPr>
          <w:rFonts w:ascii="Times New Roman" w:hAnsi="Times New Roman" w:cs="Times New Roman"/>
          <w:b/>
          <w:bCs/>
          <w:lang w:val="en-US"/>
        </w:rPr>
        <w:t>The Poverty of Theory &amp; Other Essays</w:t>
      </w:r>
      <w:r w:rsidRPr="00762003">
        <w:rPr>
          <w:rFonts w:ascii="Times New Roman" w:hAnsi="Times New Roman" w:cs="Times New Roman"/>
          <w:lang w:val="en-US"/>
        </w:rPr>
        <w:t>, Merlin Press, 1978, p. 95-96.</w:t>
      </w:r>
    </w:p>
  </w:endnote>
  <w:endnote w:id="10">
    <w:p w14:paraId="7D6C12D6" w14:textId="65BA4A3D" w:rsidR="004623F7" w:rsidRPr="00762003" w:rsidRDefault="004623F7" w:rsidP="00762003">
      <w:pPr>
        <w:pStyle w:val="EndnoteText"/>
        <w:jc w:val="both"/>
        <w:rPr>
          <w:rFonts w:ascii="Times New Roman" w:hAnsi="Times New Roman" w:cs="Times New Roman"/>
          <w:lang w:val="en-US"/>
        </w:rPr>
      </w:pPr>
      <w:r w:rsidRPr="00762003">
        <w:rPr>
          <w:rStyle w:val="EndnoteReference"/>
          <w:rFonts w:ascii="Times New Roman" w:hAnsi="Times New Roman" w:cs="Times New Roman"/>
          <w:lang w:val="en-US"/>
        </w:rPr>
        <w:endnoteRef/>
      </w:r>
      <w:r w:rsidRPr="00762003">
        <w:rPr>
          <w:rFonts w:ascii="Times New Roman" w:hAnsi="Times New Roman" w:cs="Times New Roman"/>
          <w:lang w:val="en-US"/>
        </w:rPr>
        <w:t xml:space="preserve"> Ibid., p. 148. </w:t>
      </w:r>
      <w:r w:rsidR="00762003" w:rsidRPr="00762003">
        <w:rPr>
          <w:rFonts w:ascii="Times New Roman" w:hAnsi="Times New Roman" w:cs="Times New Roman"/>
          <w:lang w:val="en-US"/>
        </w:rPr>
        <w:t xml:space="preserve">And also Perry Anderson, </w:t>
      </w:r>
      <w:r w:rsidR="00762003" w:rsidRPr="00DD43EB">
        <w:rPr>
          <w:rFonts w:ascii="Times New Roman" w:hAnsi="Times New Roman" w:cs="Times New Roman"/>
          <w:b/>
          <w:bCs/>
          <w:lang w:val="en-US"/>
        </w:rPr>
        <w:t>Arguments within English Marxism</w:t>
      </w:r>
      <w:r w:rsidR="00762003" w:rsidRPr="00762003">
        <w:rPr>
          <w:rFonts w:ascii="Times New Roman" w:hAnsi="Times New Roman" w:cs="Times New Roman"/>
          <w:lang w:val="en-US"/>
        </w:rPr>
        <w:t>, Verso, 1980, p. 60.</w:t>
      </w:r>
    </w:p>
  </w:endnote>
  <w:endnote w:id="11">
    <w:p w14:paraId="2DDCF08B" w14:textId="29C6C53B" w:rsidR="005A0936" w:rsidRPr="00762003" w:rsidRDefault="005A0936" w:rsidP="00762003">
      <w:pPr>
        <w:pStyle w:val="EndnoteText"/>
        <w:jc w:val="both"/>
        <w:rPr>
          <w:rFonts w:ascii="Times New Roman" w:hAnsi="Times New Roman" w:cs="Times New Roman"/>
          <w:lang w:val="en-US"/>
        </w:rPr>
      </w:pPr>
      <w:r w:rsidRPr="00762003">
        <w:rPr>
          <w:rStyle w:val="EndnoteReference"/>
          <w:rFonts w:ascii="Times New Roman" w:hAnsi="Times New Roman" w:cs="Times New Roman"/>
          <w:lang w:val="en-US"/>
        </w:rPr>
        <w:endnoteRef/>
      </w:r>
      <w:r w:rsidRPr="00762003">
        <w:rPr>
          <w:rFonts w:ascii="Times New Roman" w:hAnsi="Times New Roman" w:cs="Times New Roman"/>
          <w:lang w:val="en-US"/>
        </w:rPr>
        <w:t xml:space="preserve"> </w:t>
      </w:r>
      <w:r w:rsidR="00DD43EB">
        <w:rPr>
          <w:rFonts w:ascii="Times New Roman" w:hAnsi="Times New Roman" w:cs="Times New Roman"/>
          <w:lang w:val="en-US"/>
        </w:rPr>
        <w:t>“</w:t>
      </w:r>
      <w:r w:rsidR="00DD43EB">
        <w:t>In order to conceptualize this insight with greater rigor and clarity than had been attained by Marx or, probably, than by any of his successors, Althusser appropriates the Freudian category of overdetermination. For psychoanalysis, the manifest text of a dream cannot be read as representing some essential repressed thought; rather, the dream is produced or overdetermined by a heterogeneous conjunction of (principally unconscious) factors, none of which can be inferred from or reduced to any of the others. As applied to the structuration of a social formation, this model allows Althusser to develop in detail the Marxist concept of totality enabled by the basic distinction between determination and dominance</w:t>
      </w:r>
      <w:r w:rsidR="007862FA">
        <w:t>.</w:t>
      </w:r>
      <w:r w:rsidR="00DD43EB">
        <w:t xml:space="preserve">” Carl Freedman, “The Interventional Marxism of Louis Althusser”, </w:t>
      </w:r>
      <w:r w:rsidR="00DD43EB" w:rsidRPr="00DD43EB">
        <w:rPr>
          <w:b/>
          <w:bCs/>
        </w:rPr>
        <w:t>Rethinking Marxism: A Journal of Economics, Culture &amp; Society</w:t>
      </w:r>
      <w:r w:rsidR="00DD43EB">
        <w:t>, 3:3-4, 1990, p. 318-319.</w:t>
      </w:r>
    </w:p>
  </w:endnote>
  <w:endnote w:id="12">
    <w:p w14:paraId="6963E4FF" w14:textId="5390AB6A" w:rsidR="00E862B6" w:rsidRPr="00762003" w:rsidRDefault="00E862B6" w:rsidP="00762003">
      <w:pPr>
        <w:pStyle w:val="EndnoteText"/>
        <w:jc w:val="both"/>
        <w:rPr>
          <w:rFonts w:ascii="Times New Roman" w:hAnsi="Times New Roman" w:cs="Times New Roman"/>
          <w:lang w:val="en-US"/>
        </w:rPr>
      </w:pPr>
      <w:r w:rsidRPr="00762003">
        <w:rPr>
          <w:rStyle w:val="EndnoteReference"/>
          <w:rFonts w:ascii="Times New Roman" w:hAnsi="Times New Roman" w:cs="Times New Roman"/>
          <w:lang w:val="en-US"/>
        </w:rPr>
        <w:endnoteRef/>
      </w:r>
      <w:r w:rsidRPr="00762003">
        <w:rPr>
          <w:rFonts w:ascii="Times New Roman" w:hAnsi="Times New Roman" w:cs="Times New Roman"/>
          <w:lang w:val="en-US"/>
        </w:rPr>
        <w:t xml:space="preserve"> </w:t>
      </w:r>
      <w:r w:rsidR="00DD43EB">
        <w:rPr>
          <w:rFonts w:ascii="Times New Roman" w:hAnsi="Times New Roman" w:cs="Times New Roman"/>
          <w:lang w:val="en-US"/>
        </w:rPr>
        <w:t xml:space="preserve">Thompson, </w:t>
      </w:r>
      <w:r w:rsidR="00DD43EB" w:rsidRPr="00DD43EB">
        <w:rPr>
          <w:rFonts w:ascii="Times New Roman" w:hAnsi="Times New Roman" w:cs="Times New Roman"/>
          <w:b/>
          <w:bCs/>
          <w:lang w:val="en-US"/>
        </w:rPr>
        <w:t>The Poverty of Theory &amp; Other Essays</w:t>
      </w:r>
      <w:r w:rsidR="00DD43EB">
        <w:rPr>
          <w:rFonts w:ascii="Times New Roman" w:hAnsi="Times New Roman" w:cs="Times New Roman"/>
          <w:lang w:val="en-US"/>
        </w:rPr>
        <w:t>, p. 143-147.</w:t>
      </w:r>
    </w:p>
  </w:endnote>
  <w:endnote w:id="13">
    <w:p w14:paraId="7C0543B2" w14:textId="1653616E" w:rsidR="00E862B6" w:rsidRPr="00762003" w:rsidRDefault="00E862B6" w:rsidP="00762003">
      <w:pPr>
        <w:pStyle w:val="EndnoteText"/>
        <w:jc w:val="both"/>
        <w:rPr>
          <w:rFonts w:ascii="Times New Roman" w:hAnsi="Times New Roman" w:cs="Times New Roman"/>
          <w:lang w:val="en-US"/>
        </w:rPr>
      </w:pPr>
      <w:r w:rsidRPr="00762003">
        <w:rPr>
          <w:rStyle w:val="EndnoteReference"/>
          <w:rFonts w:ascii="Times New Roman" w:hAnsi="Times New Roman" w:cs="Times New Roman"/>
          <w:lang w:val="en-US"/>
        </w:rPr>
        <w:endnoteRef/>
      </w:r>
      <w:r w:rsidRPr="00762003">
        <w:rPr>
          <w:rFonts w:ascii="Times New Roman" w:hAnsi="Times New Roman" w:cs="Times New Roman"/>
          <w:lang w:val="en-US"/>
        </w:rPr>
        <w:t xml:space="preserve"> </w:t>
      </w:r>
      <w:r w:rsidR="001B4B70">
        <w:rPr>
          <w:rFonts w:ascii="Times New Roman" w:hAnsi="Times New Roman" w:cs="Times New Roman"/>
          <w:lang w:val="en-US"/>
        </w:rPr>
        <w:t xml:space="preserve">Louis Althusser, “Contradiction and Overdetermination” in </w:t>
      </w:r>
      <w:r w:rsidR="001B4B70" w:rsidRPr="00B118BD">
        <w:rPr>
          <w:rFonts w:ascii="Times New Roman" w:hAnsi="Times New Roman" w:cs="Times New Roman"/>
          <w:b/>
          <w:bCs/>
          <w:lang w:val="en-US"/>
        </w:rPr>
        <w:t>For Marx</w:t>
      </w:r>
      <w:r w:rsidR="001B4B70">
        <w:rPr>
          <w:rFonts w:ascii="Times New Roman" w:hAnsi="Times New Roman" w:cs="Times New Roman"/>
          <w:lang w:val="en-US"/>
        </w:rPr>
        <w:t>, Trans. Ben Brewster, Verso, 2005, p. 113.</w:t>
      </w:r>
    </w:p>
  </w:endnote>
  <w:endnote w:id="14">
    <w:p w14:paraId="273AC3B9" w14:textId="1597BA0C" w:rsidR="00E862B6" w:rsidRPr="00E53874" w:rsidRDefault="00E862B6" w:rsidP="00E53874">
      <w:pPr>
        <w:pStyle w:val="EndnoteText"/>
        <w:jc w:val="both"/>
        <w:rPr>
          <w:rFonts w:ascii="Times New Roman" w:hAnsi="Times New Roman" w:cs="Times New Roman"/>
          <w:lang w:val="en-US"/>
        </w:rPr>
      </w:pPr>
      <w:r w:rsidRPr="00E53874">
        <w:rPr>
          <w:rStyle w:val="EndnoteReference"/>
          <w:rFonts w:ascii="Times New Roman" w:hAnsi="Times New Roman" w:cs="Times New Roman"/>
          <w:lang w:val="en-US"/>
        </w:rPr>
        <w:endnoteRef/>
      </w:r>
      <w:r w:rsidRPr="00E53874">
        <w:rPr>
          <w:rFonts w:ascii="Times New Roman" w:hAnsi="Times New Roman" w:cs="Times New Roman"/>
          <w:lang w:val="en-US"/>
        </w:rPr>
        <w:t xml:space="preserve"> </w:t>
      </w:r>
      <w:r w:rsidR="001B4B70" w:rsidRPr="00E53874">
        <w:rPr>
          <w:rFonts w:ascii="Times New Roman" w:hAnsi="Times New Roman" w:cs="Times New Roman"/>
          <w:lang w:val="en-US"/>
        </w:rPr>
        <w:t xml:space="preserve">Jacques Ranciére, </w:t>
      </w:r>
      <w:r w:rsidR="001B4B70" w:rsidRPr="00E53874">
        <w:rPr>
          <w:rFonts w:ascii="Times New Roman" w:hAnsi="Times New Roman" w:cs="Times New Roman"/>
          <w:b/>
          <w:bCs/>
          <w:lang w:val="en-US"/>
        </w:rPr>
        <w:t>Althusser’s Lesson</w:t>
      </w:r>
      <w:r w:rsidR="001B4B70" w:rsidRPr="00E53874">
        <w:rPr>
          <w:rFonts w:ascii="Times New Roman" w:hAnsi="Times New Roman" w:cs="Times New Roman"/>
          <w:lang w:val="en-US"/>
        </w:rPr>
        <w:t xml:space="preserve">, Trans. Emilliano Battista, Continuum, 2011, p. 11, 49. </w:t>
      </w:r>
    </w:p>
  </w:endnote>
  <w:endnote w:id="15">
    <w:p w14:paraId="7C565808" w14:textId="52D10F59" w:rsidR="00E862B6" w:rsidRPr="00E53874" w:rsidRDefault="00E862B6" w:rsidP="00E53874">
      <w:pPr>
        <w:pStyle w:val="EndnoteText"/>
        <w:jc w:val="both"/>
        <w:rPr>
          <w:rFonts w:ascii="Times New Roman" w:hAnsi="Times New Roman" w:cs="Times New Roman"/>
          <w:lang w:val="en-US"/>
        </w:rPr>
      </w:pPr>
      <w:r w:rsidRPr="00E53874">
        <w:rPr>
          <w:rStyle w:val="EndnoteReference"/>
          <w:rFonts w:ascii="Times New Roman" w:hAnsi="Times New Roman" w:cs="Times New Roman"/>
          <w:lang w:val="en-US"/>
        </w:rPr>
        <w:endnoteRef/>
      </w:r>
      <w:r w:rsidRPr="00E53874">
        <w:rPr>
          <w:rFonts w:ascii="Times New Roman" w:hAnsi="Times New Roman" w:cs="Times New Roman"/>
          <w:lang w:val="en-US"/>
        </w:rPr>
        <w:t xml:space="preserve"> </w:t>
      </w:r>
      <w:r w:rsidR="00CD1290" w:rsidRPr="00E53874">
        <w:rPr>
          <w:rFonts w:ascii="Times New Roman" w:hAnsi="Times New Roman" w:cs="Times New Roman"/>
          <w:lang w:val="en-US"/>
        </w:rPr>
        <w:t xml:space="preserve">Nicos Poulantzas, </w:t>
      </w:r>
      <w:r w:rsidR="00CD1290" w:rsidRPr="00E53874">
        <w:rPr>
          <w:rFonts w:ascii="Times New Roman" w:hAnsi="Times New Roman" w:cs="Times New Roman"/>
          <w:b/>
          <w:bCs/>
          <w:lang w:val="en-US"/>
        </w:rPr>
        <w:t>State, Power, Socialism</w:t>
      </w:r>
      <w:r w:rsidR="00CD1290" w:rsidRPr="00E53874">
        <w:rPr>
          <w:rFonts w:ascii="Times New Roman" w:hAnsi="Times New Roman" w:cs="Times New Roman"/>
          <w:lang w:val="en-US"/>
        </w:rPr>
        <w:t>, Trans. Patrick Camiller, Verso, 2000, p. 73, 129, 133, 192.</w:t>
      </w:r>
    </w:p>
  </w:endnote>
  <w:endnote w:id="16">
    <w:p w14:paraId="2657071B" w14:textId="5CA4A5B9" w:rsidR="00E862B6" w:rsidRPr="00E53874" w:rsidRDefault="00E862B6" w:rsidP="00E53874">
      <w:pPr>
        <w:pStyle w:val="EndnoteText"/>
        <w:jc w:val="both"/>
        <w:rPr>
          <w:rFonts w:ascii="Times New Roman" w:hAnsi="Times New Roman" w:cs="Times New Roman"/>
          <w:lang w:val="en-US"/>
        </w:rPr>
      </w:pPr>
      <w:r w:rsidRPr="00E53874">
        <w:rPr>
          <w:rStyle w:val="EndnoteReference"/>
          <w:rFonts w:ascii="Times New Roman" w:hAnsi="Times New Roman" w:cs="Times New Roman"/>
          <w:lang w:val="en-US"/>
        </w:rPr>
        <w:endnoteRef/>
      </w:r>
      <w:r w:rsidRPr="00E53874">
        <w:rPr>
          <w:rFonts w:ascii="Times New Roman" w:hAnsi="Times New Roman" w:cs="Times New Roman"/>
          <w:lang w:val="en-US"/>
        </w:rPr>
        <w:t xml:space="preserve"> </w:t>
      </w:r>
      <w:r w:rsidR="00CD1290" w:rsidRPr="00E53874">
        <w:rPr>
          <w:rFonts w:ascii="Times New Roman" w:hAnsi="Times New Roman" w:cs="Times New Roman"/>
          <w:lang w:val="en-US"/>
        </w:rPr>
        <w:t xml:space="preserve">Ibid., p. 131, </w:t>
      </w:r>
      <w:r w:rsidR="00E53874" w:rsidRPr="00E53874">
        <w:rPr>
          <w:rFonts w:ascii="Times New Roman" w:hAnsi="Times New Roman" w:cs="Times New Roman"/>
          <w:lang w:val="en-US"/>
        </w:rPr>
        <w:t>132, 138, 140.</w:t>
      </w:r>
    </w:p>
  </w:endnote>
  <w:endnote w:id="17">
    <w:p w14:paraId="1F3B4D30" w14:textId="0BB53E69" w:rsidR="00E862B6" w:rsidRPr="00E53874" w:rsidRDefault="00E862B6" w:rsidP="00E53874">
      <w:pPr>
        <w:pStyle w:val="EndnoteText"/>
        <w:jc w:val="both"/>
        <w:rPr>
          <w:rFonts w:ascii="Times New Roman" w:hAnsi="Times New Roman" w:cs="Times New Roman"/>
          <w:lang w:val="en-US"/>
        </w:rPr>
      </w:pPr>
      <w:r w:rsidRPr="00E53874">
        <w:rPr>
          <w:rStyle w:val="EndnoteReference"/>
          <w:rFonts w:ascii="Times New Roman" w:hAnsi="Times New Roman" w:cs="Times New Roman"/>
          <w:lang w:val="en-US"/>
        </w:rPr>
        <w:endnoteRef/>
      </w:r>
      <w:r w:rsidRPr="00E53874">
        <w:rPr>
          <w:rFonts w:ascii="Times New Roman" w:hAnsi="Times New Roman" w:cs="Times New Roman"/>
          <w:lang w:val="en-US"/>
        </w:rPr>
        <w:t xml:space="preserve"> </w:t>
      </w:r>
      <w:r w:rsidR="00B118BD" w:rsidRPr="00E53874">
        <w:rPr>
          <w:rFonts w:ascii="Times New Roman" w:hAnsi="Times New Roman" w:cs="Times New Roman"/>
          <w:lang w:val="en-US"/>
        </w:rPr>
        <w:t xml:space="preserve">Louis Althusser, </w:t>
      </w:r>
      <w:r w:rsidR="00B118BD" w:rsidRPr="00E53874">
        <w:rPr>
          <w:rFonts w:ascii="Times New Roman" w:hAnsi="Times New Roman" w:cs="Times New Roman"/>
          <w:b/>
          <w:bCs/>
          <w:lang w:val="en-US"/>
        </w:rPr>
        <w:t>On the Reproduction of Capitalism: Ideology and Ideological State Apparatuses</w:t>
      </w:r>
      <w:r w:rsidR="00B118BD" w:rsidRPr="00E53874">
        <w:rPr>
          <w:rFonts w:ascii="Times New Roman" w:hAnsi="Times New Roman" w:cs="Times New Roman"/>
          <w:lang w:val="en-US"/>
        </w:rPr>
        <w:t xml:space="preserve">, p. 241; </w:t>
      </w:r>
      <w:r w:rsidR="00CD1290" w:rsidRPr="00E53874">
        <w:rPr>
          <w:rFonts w:ascii="Times New Roman" w:hAnsi="Times New Roman" w:cs="Times New Roman"/>
          <w:lang w:val="en-US"/>
        </w:rPr>
        <w:t xml:space="preserve">“We know that the state apparatus may survive, as is proved by bourgeois 'revolutions' in nineteenth-century France (1830, 1848), by coups d'etat (2 December, May 1958), by collapses of the state (the fall of the Empire in 1870, of the Third Republic in </w:t>
      </w:r>
      <w:r w:rsidR="00E53874">
        <w:rPr>
          <w:rFonts w:ascii="Times New Roman" w:hAnsi="Times New Roman" w:cs="Times New Roman"/>
          <w:lang w:val="en-US"/>
        </w:rPr>
        <w:t>1</w:t>
      </w:r>
      <w:r w:rsidR="00CD1290" w:rsidRPr="00E53874">
        <w:rPr>
          <w:rFonts w:ascii="Times New Roman" w:hAnsi="Times New Roman" w:cs="Times New Roman"/>
          <w:lang w:val="en-US"/>
        </w:rPr>
        <w:t>940) , or by the political rise of the petty bourgeoisie (1890-95 in France), etc., without the state apparatus being affected or modified: it may survive political events which affect the possession of state power.”</w:t>
      </w:r>
    </w:p>
  </w:endnote>
  <w:endnote w:id="18">
    <w:p w14:paraId="33789005" w14:textId="36FF4596" w:rsidR="00E862B6" w:rsidRPr="00E53874" w:rsidRDefault="00E862B6" w:rsidP="00E53874">
      <w:pPr>
        <w:pStyle w:val="EndnoteText"/>
        <w:jc w:val="both"/>
        <w:rPr>
          <w:rFonts w:ascii="Times New Roman" w:hAnsi="Times New Roman" w:cs="Times New Roman"/>
          <w:lang w:val="en-US"/>
        </w:rPr>
      </w:pPr>
      <w:r w:rsidRPr="00E53874">
        <w:rPr>
          <w:rStyle w:val="EndnoteReference"/>
          <w:rFonts w:ascii="Times New Roman" w:hAnsi="Times New Roman" w:cs="Times New Roman"/>
          <w:lang w:val="en-US"/>
        </w:rPr>
        <w:endnoteRef/>
      </w:r>
      <w:r w:rsidRPr="00E53874">
        <w:rPr>
          <w:rFonts w:ascii="Times New Roman" w:hAnsi="Times New Roman" w:cs="Times New Roman"/>
          <w:lang w:val="en-US"/>
        </w:rPr>
        <w:t xml:space="preserve"> </w:t>
      </w:r>
      <w:r w:rsidR="00B118BD" w:rsidRPr="00E53874">
        <w:rPr>
          <w:rFonts w:ascii="Times New Roman" w:hAnsi="Times New Roman" w:cs="Times New Roman"/>
          <w:lang w:val="en-US"/>
        </w:rPr>
        <w:t xml:space="preserve">Franco Bifo Berardi, </w:t>
      </w:r>
      <w:r w:rsidR="00B118BD" w:rsidRPr="00E53874">
        <w:rPr>
          <w:rFonts w:ascii="Times New Roman" w:hAnsi="Times New Roman" w:cs="Times New Roman"/>
          <w:b/>
          <w:bCs/>
          <w:lang w:val="en-US"/>
        </w:rPr>
        <w:t>Heroes: Mass Murder and Suicide</w:t>
      </w:r>
      <w:r w:rsidR="00B118BD" w:rsidRPr="00E53874">
        <w:rPr>
          <w:rFonts w:ascii="Times New Roman" w:hAnsi="Times New Roman" w:cs="Times New Roman"/>
          <w:lang w:val="en-US"/>
        </w:rPr>
        <w:t>, Verso, 2015, p. 90.</w:t>
      </w:r>
    </w:p>
  </w:endnote>
  <w:endnote w:id="19">
    <w:p w14:paraId="52DB704E" w14:textId="401E2C38" w:rsidR="00524069" w:rsidRPr="009D53EF" w:rsidRDefault="00524069" w:rsidP="00E53874">
      <w:pPr>
        <w:pStyle w:val="EndnoteText"/>
        <w:jc w:val="both"/>
        <w:rPr>
          <w:rFonts w:ascii="Times New Roman" w:hAnsi="Times New Roman" w:cs="Times New Roman"/>
          <w:lang w:val="en-US"/>
        </w:rPr>
      </w:pPr>
      <w:r w:rsidRPr="009D53EF">
        <w:rPr>
          <w:rStyle w:val="EndnoteReference"/>
          <w:rFonts w:ascii="Times New Roman" w:hAnsi="Times New Roman" w:cs="Times New Roman"/>
          <w:lang w:val="en-US"/>
        </w:rPr>
        <w:endnoteRef/>
      </w:r>
      <w:r w:rsidRPr="009D53EF">
        <w:rPr>
          <w:rFonts w:ascii="Times New Roman" w:hAnsi="Times New Roman" w:cs="Times New Roman"/>
          <w:lang w:val="en-US"/>
        </w:rPr>
        <w:t xml:space="preserve"> </w:t>
      </w:r>
      <w:r w:rsidR="00AD5AF0" w:rsidRPr="009D53EF">
        <w:rPr>
          <w:rFonts w:ascii="Times New Roman" w:hAnsi="Times New Roman" w:cs="Times New Roman"/>
          <w:lang w:val="en-US"/>
        </w:rPr>
        <w:t xml:space="preserve">Enzo Traverso, </w:t>
      </w:r>
      <w:r w:rsidR="00AD5AF0" w:rsidRPr="009D53EF">
        <w:rPr>
          <w:rFonts w:ascii="Times New Roman" w:hAnsi="Times New Roman" w:cs="Times New Roman"/>
          <w:b/>
          <w:bCs/>
          <w:lang w:val="en-US"/>
        </w:rPr>
        <w:t>Left-Wing Melancholia; Marxism, History and Memory</w:t>
      </w:r>
      <w:r w:rsidR="00AD5AF0" w:rsidRPr="009D53EF">
        <w:rPr>
          <w:rFonts w:ascii="Times New Roman" w:hAnsi="Times New Roman" w:cs="Times New Roman"/>
          <w:lang w:val="en-US"/>
        </w:rPr>
        <w:t xml:space="preserve">, Columbia University Press, 2016. </w:t>
      </w:r>
      <w:r w:rsidR="009D53EF" w:rsidRPr="009D53EF">
        <w:rPr>
          <w:rFonts w:ascii="Times New Roman" w:hAnsi="Times New Roman" w:cs="Times New Roman"/>
          <w:lang w:val="en-US"/>
        </w:rPr>
        <w:t xml:space="preserve">And also: “Revolts, like riots and upheavals, stem from crowds: transitional and mostly ephemeral concentrations of people who – as Elias Canetti has meticulously observed – act spasmodically up to a final explosion that, like a discharge, precedes their disaggregation. Revolutions are usually conscious accomplishments by collective subjects”, Enzo Traverso, </w:t>
      </w:r>
      <w:r w:rsidR="009D53EF" w:rsidRPr="009D53EF">
        <w:rPr>
          <w:rFonts w:ascii="Times New Roman" w:hAnsi="Times New Roman" w:cs="Times New Roman"/>
          <w:b/>
          <w:bCs/>
          <w:lang w:val="en-US"/>
        </w:rPr>
        <w:t>Revolution: An Intellectual History</w:t>
      </w:r>
      <w:r w:rsidR="009D53EF" w:rsidRPr="009D53EF">
        <w:rPr>
          <w:rFonts w:ascii="Times New Roman" w:hAnsi="Times New Roman" w:cs="Times New Roman"/>
          <w:lang w:val="en-US"/>
        </w:rPr>
        <w:t>, Verso, 2021, p.37.</w:t>
      </w:r>
    </w:p>
  </w:endnote>
  <w:endnote w:id="20">
    <w:p w14:paraId="1913DD54" w14:textId="598EC3B0" w:rsidR="00E862B6" w:rsidRPr="00E862B6" w:rsidRDefault="00E862B6" w:rsidP="00E53874">
      <w:pPr>
        <w:pStyle w:val="EndnoteText"/>
        <w:jc w:val="both"/>
        <w:rPr>
          <w:lang w:val="tr-TR"/>
        </w:rPr>
      </w:pPr>
      <w:r w:rsidRPr="00E53874">
        <w:rPr>
          <w:rStyle w:val="EndnoteReference"/>
          <w:rFonts w:ascii="Times New Roman" w:hAnsi="Times New Roman" w:cs="Times New Roman"/>
          <w:lang w:val="en-US"/>
        </w:rPr>
        <w:endnoteRef/>
      </w:r>
      <w:r w:rsidRPr="00762003">
        <w:rPr>
          <w:rFonts w:ascii="Times New Roman" w:hAnsi="Times New Roman" w:cs="Times New Roman"/>
          <w:lang w:val="en-US"/>
        </w:rPr>
        <w:t xml:space="preserve"> </w:t>
      </w:r>
      <w:r w:rsidR="009E3A3B">
        <w:rPr>
          <w:rFonts w:ascii="Times New Roman" w:hAnsi="Times New Roman" w:cs="Times New Roman"/>
          <w:lang w:val="en-US"/>
        </w:rPr>
        <w:t xml:space="preserve">Alain Badiou, </w:t>
      </w:r>
      <w:r w:rsidR="009E3A3B" w:rsidRPr="000A1126">
        <w:rPr>
          <w:rFonts w:ascii="Times New Roman" w:hAnsi="Times New Roman" w:cs="Times New Roman"/>
          <w:b/>
          <w:bCs/>
          <w:lang w:val="en-US"/>
        </w:rPr>
        <w:t>L’être et l’événement</w:t>
      </w:r>
      <w:r w:rsidR="009E3A3B">
        <w:rPr>
          <w:rFonts w:ascii="Times New Roman" w:hAnsi="Times New Roman" w:cs="Times New Roman"/>
          <w:lang w:val="en-US"/>
        </w:rPr>
        <w:t>, Seuil, 1988, p. 216, 223</w:t>
      </w:r>
      <w:r w:rsidR="000A1126">
        <w:rPr>
          <w:rFonts w:ascii="Times New Roman" w:hAnsi="Times New Roman" w:cs="Times New Roman"/>
          <w:lang w:val="en-US"/>
        </w:rPr>
        <w:t>, 228.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64933282"/>
      <w:docPartObj>
        <w:docPartGallery w:val="Page Numbers (Bottom of Page)"/>
        <w:docPartUnique/>
      </w:docPartObj>
    </w:sdtPr>
    <w:sdtContent>
      <w:p w14:paraId="3FE05966" w14:textId="5090A666" w:rsidR="00290417" w:rsidRDefault="00290417" w:rsidP="00243AC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541FEFF" w14:textId="77777777" w:rsidR="00290417" w:rsidRDefault="002904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92129330"/>
      <w:docPartObj>
        <w:docPartGallery w:val="Page Numbers (Bottom of Page)"/>
        <w:docPartUnique/>
      </w:docPartObj>
    </w:sdtPr>
    <w:sdtContent>
      <w:p w14:paraId="2BE0E588" w14:textId="47F8A463" w:rsidR="00290417" w:rsidRDefault="00290417" w:rsidP="00243AC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F5786F4" w14:textId="77777777" w:rsidR="00290417" w:rsidRDefault="002904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C993CE" w14:textId="77777777" w:rsidR="0032582D" w:rsidRDefault="0032582D" w:rsidP="00F062E3">
      <w:pPr>
        <w:spacing w:after="0" w:line="240" w:lineRule="auto"/>
      </w:pPr>
      <w:r>
        <w:separator/>
      </w:r>
    </w:p>
  </w:footnote>
  <w:footnote w:type="continuationSeparator" w:id="0">
    <w:p w14:paraId="667378E9" w14:textId="77777777" w:rsidR="0032582D" w:rsidRDefault="0032582D" w:rsidP="00F062E3">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defaultTabStop w:val="708"/>
  <w:hyphenationZone w:val="425"/>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0CC"/>
    <w:rsid w:val="0001229A"/>
    <w:rsid w:val="00032711"/>
    <w:rsid w:val="00067AED"/>
    <w:rsid w:val="00070001"/>
    <w:rsid w:val="0009358D"/>
    <w:rsid w:val="000A1126"/>
    <w:rsid w:val="000B4379"/>
    <w:rsid w:val="000D3428"/>
    <w:rsid w:val="000E20E6"/>
    <w:rsid w:val="001A7446"/>
    <w:rsid w:val="001B4B70"/>
    <w:rsid w:val="00216B44"/>
    <w:rsid w:val="0025497D"/>
    <w:rsid w:val="00290417"/>
    <w:rsid w:val="002A2810"/>
    <w:rsid w:val="0032582D"/>
    <w:rsid w:val="00357663"/>
    <w:rsid w:val="003A07AA"/>
    <w:rsid w:val="00421C84"/>
    <w:rsid w:val="004623F7"/>
    <w:rsid w:val="004860CC"/>
    <w:rsid w:val="004C29EB"/>
    <w:rsid w:val="004D7659"/>
    <w:rsid w:val="004E1212"/>
    <w:rsid w:val="004E7C9B"/>
    <w:rsid w:val="0050064A"/>
    <w:rsid w:val="00515A37"/>
    <w:rsid w:val="00524069"/>
    <w:rsid w:val="00582B80"/>
    <w:rsid w:val="005A0936"/>
    <w:rsid w:val="005A297A"/>
    <w:rsid w:val="005B2E9D"/>
    <w:rsid w:val="005C487F"/>
    <w:rsid w:val="005F4F25"/>
    <w:rsid w:val="005F52CA"/>
    <w:rsid w:val="006056AA"/>
    <w:rsid w:val="0063242D"/>
    <w:rsid w:val="00654723"/>
    <w:rsid w:val="00661F57"/>
    <w:rsid w:val="00667C4F"/>
    <w:rsid w:val="006D04D9"/>
    <w:rsid w:val="00755525"/>
    <w:rsid w:val="00760FD0"/>
    <w:rsid w:val="00762003"/>
    <w:rsid w:val="00777BB9"/>
    <w:rsid w:val="007862FA"/>
    <w:rsid w:val="008A4035"/>
    <w:rsid w:val="008B16B4"/>
    <w:rsid w:val="008C239F"/>
    <w:rsid w:val="008F1118"/>
    <w:rsid w:val="00912DFC"/>
    <w:rsid w:val="0093012D"/>
    <w:rsid w:val="009A35B3"/>
    <w:rsid w:val="009A5563"/>
    <w:rsid w:val="009B13DF"/>
    <w:rsid w:val="009D53EF"/>
    <w:rsid w:val="009E3433"/>
    <w:rsid w:val="009E3A3B"/>
    <w:rsid w:val="00A72A20"/>
    <w:rsid w:val="00A95D3B"/>
    <w:rsid w:val="00AD5AF0"/>
    <w:rsid w:val="00B118BD"/>
    <w:rsid w:val="00B506BC"/>
    <w:rsid w:val="00BD5649"/>
    <w:rsid w:val="00BE6FF6"/>
    <w:rsid w:val="00BF451A"/>
    <w:rsid w:val="00C47FC4"/>
    <w:rsid w:val="00C742C8"/>
    <w:rsid w:val="00CA1518"/>
    <w:rsid w:val="00CA6555"/>
    <w:rsid w:val="00CD1290"/>
    <w:rsid w:val="00D91EC5"/>
    <w:rsid w:val="00DB4448"/>
    <w:rsid w:val="00DD43EB"/>
    <w:rsid w:val="00E14489"/>
    <w:rsid w:val="00E26A12"/>
    <w:rsid w:val="00E53874"/>
    <w:rsid w:val="00E63162"/>
    <w:rsid w:val="00E749D3"/>
    <w:rsid w:val="00E83A5C"/>
    <w:rsid w:val="00E862B6"/>
    <w:rsid w:val="00EA3842"/>
    <w:rsid w:val="00EE70C6"/>
    <w:rsid w:val="00F04B38"/>
    <w:rsid w:val="00F062E3"/>
    <w:rsid w:val="00F232FB"/>
    <w:rsid w:val="00F6414A"/>
    <w:rsid w:val="00FA135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BD30C"/>
  <w15:chartTrackingRefBased/>
  <w15:docId w15:val="{43047430-8AC9-F74A-B266-99B587472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0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0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0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0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0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0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0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0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0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0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0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0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0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0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0CC"/>
    <w:rPr>
      <w:rFonts w:eastAsiaTheme="majorEastAsia" w:cstheme="majorBidi"/>
      <w:color w:val="272727" w:themeColor="text1" w:themeTint="D8"/>
    </w:rPr>
  </w:style>
  <w:style w:type="paragraph" w:styleId="Title">
    <w:name w:val="Title"/>
    <w:basedOn w:val="Normal"/>
    <w:next w:val="Normal"/>
    <w:link w:val="TitleChar"/>
    <w:uiPriority w:val="10"/>
    <w:qFormat/>
    <w:rsid w:val="00486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0CC"/>
    <w:pPr>
      <w:spacing w:before="160"/>
      <w:jc w:val="center"/>
    </w:pPr>
    <w:rPr>
      <w:i/>
      <w:iCs/>
      <w:color w:val="404040" w:themeColor="text1" w:themeTint="BF"/>
    </w:rPr>
  </w:style>
  <w:style w:type="character" w:customStyle="1" w:styleId="QuoteChar">
    <w:name w:val="Quote Char"/>
    <w:basedOn w:val="DefaultParagraphFont"/>
    <w:link w:val="Quote"/>
    <w:uiPriority w:val="29"/>
    <w:rsid w:val="004860CC"/>
    <w:rPr>
      <w:i/>
      <w:iCs/>
      <w:color w:val="404040" w:themeColor="text1" w:themeTint="BF"/>
    </w:rPr>
  </w:style>
  <w:style w:type="paragraph" w:styleId="ListParagraph">
    <w:name w:val="List Paragraph"/>
    <w:basedOn w:val="Normal"/>
    <w:uiPriority w:val="34"/>
    <w:qFormat/>
    <w:rsid w:val="004860CC"/>
    <w:pPr>
      <w:ind w:left="720"/>
      <w:contextualSpacing/>
    </w:pPr>
  </w:style>
  <w:style w:type="character" w:styleId="IntenseEmphasis">
    <w:name w:val="Intense Emphasis"/>
    <w:basedOn w:val="DefaultParagraphFont"/>
    <w:uiPriority w:val="21"/>
    <w:qFormat/>
    <w:rsid w:val="004860CC"/>
    <w:rPr>
      <w:i/>
      <w:iCs/>
      <w:color w:val="0F4761" w:themeColor="accent1" w:themeShade="BF"/>
    </w:rPr>
  </w:style>
  <w:style w:type="paragraph" w:styleId="IntenseQuote">
    <w:name w:val="Intense Quote"/>
    <w:basedOn w:val="Normal"/>
    <w:next w:val="Normal"/>
    <w:link w:val="IntenseQuoteChar"/>
    <w:uiPriority w:val="30"/>
    <w:qFormat/>
    <w:rsid w:val="00486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0CC"/>
    <w:rPr>
      <w:i/>
      <w:iCs/>
      <w:color w:val="0F4761" w:themeColor="accent1" w:themeShade="BF"/>
    </w:rPr>
  </w:style>
  <w:style w:type="character" w:styleId="IntenseReference">
    <w:name w:val="Intense Reference"/>
    <w:basedOn w:val="DefaultParagraphFont"/>
    <w:uiPriority w:val="32"/>
    <w:qFormat/>
    <w:rsid w:val="004860CC"/>
    <w:rPr>
      <w:b/>
      <w:bCs/>
      <w:smallCaps/>
      <w:color w:val="0F4761" w:themeColor="accent1" w:themeShade="BF"/>
      <w:spacing w:val="5"/>
    </w:rPr>
  </w:style>
  <w:style w:type="paragraph" w:styleId="NormalWeb">
    <w:name w:val="Normal (Web)"/>
    <w:basedOn w:val="Normal"/>
    <w:uiPriority w:val="99"/>
    <w:unhideWhenUsed/>
    <w:rsid w:val="00CA1518"/>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styleId="EndnoteText">
    <w:name w:val="endnote text"/>
    <w:basedOn w:val="Normal"/>
    <w:link w:val="EndnoteTextChar"/>
    <w:uiPriority w:val="99"/>
    <w:semiHidden/>
    <w:unhideWhenUsed/>
    <w:rsid w:val="00F062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062E3"/>
    <w:rPr>
      <w:sz w:val="20"/>
      <w:szCs w:val="20"/>
    </w:rPr>
  </w:style>
  <w:style w:type="character" w:styleId="EndnoteReference">
    <w:name w:val="endnote reference"/>
    <w:basedOn w:val="DefaultParagraphFont"/>
    <w:uiPriority w:val="99"/>
    <w:semiHidden/>
    <w:unhideWhenUsed/>
    <w:rsid w:val="00F062E3"/>
    <w:rPr>
      <w:vertAlign w:val="superscript"/>
    </w:rPr>
  </w:style>
  <w:style w:type="paragraph" w:styleId="Footer">
    <w:name w:val="footer"/>
    <w:basedOn w:val="Normal"/>
    <w:link w:val="FooterChar"/>
    <w:uiPriority w:val="99"/>
    <w:unhideWhenUsed/>
    <w:rsid w:val="002904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0417"/>
  </w:style>
  <w:style w:type="character" w:styleId="PageNumber">
    <w:name w:val="page number"/>
    <w:basedOn w:val="DefaultParagraphFont"/>
    <w:uiPriority w:val="99"/>
    <w:semiHidden/>
    <w:unhideWhenUsed/>
    <w:rsid w:val="002904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846558-EE99-ED4D-A203-86AA4ED32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3813</Words>
  <Characters>20896</Characters>
  <Application>Microsoft Office Word</Application>
  <DocSecurity>0</DocSecurity>
  <Lines>286</Lines>
  <Paragraphs>48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Özhan Öztürk</dc:creator>
  <cp:keywords/>
  <dc:description/>
  <cp:lastModifiedBy>Gene Callahan</cp:lastModifiedBy>
  <cp:revision>2</cp:revision>
  <dcterms:created xsi:type="dcterms:W3CDTF">2026-09-15T23:41:00Z</dcterms:created>
  <dcterms:modified xsi:type="dcterms:W3CDTF">2026-09-15T23:41:00Z</dcterms:modified>
</cp:coreProperties>
</file>