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2037" w14:textId="77777777" w:rsidR="003B5137" w:rsidRDefault="00000000">
      <w:pPr>
        <w:pStyle w:val="Heading1"/>
      </w:pPr>
      <w:bookmarkStart w:id="0" w:name="introduction"/>
      <w:r>
        <w:t>Introduction</w:t>
      </w:r>
      <w:bookmarkEnd w:id="0"/>
    </w:p>
    <w:p w14:paraId="3D51A0F8" w14:textId="77777777" w:rsidR="003B5137" w:rsidRDefault="00000000">
      <w:pPr>
        <w:pStyle w:val="FirstParagraph"/>
      </w:pPr>
      <w:r>
        <w:t>Gene Callahan, New York University</w:t>
      </w:r>
    </w:p>
    <w:p w14:paraId="7F990C67" w14:textId="77777777" w:rsidR="003B5137" w:rsidRDefault="00000000">
      <w:pPr>
        <w:pStyle w:val="BodyText"/>
      </w:pPr>
      <w:r>
        <w:t xml:space="preserve">In the </w:t>
      </w:r>
      <w:r>
        <w:rPr>
          <w:i/>
        </w:rPr>
        <w:t>Book of Genesis</w:t>
      </w:r>
      <w:r>
        <w:t>, as Adam and Eve are exiled from Eden, God tells them, “By the sweat of your brow you will eat your food.” Thus begins our long, difficult relationship with working: is it a curse we suffer under, or the very means by which our lives find their purpose?</w:t>
      </w:r>
    </w:p>
    <w:p w14:paraId="2D7DC21B" w14:textId="259FCA8B" w:rsidR="003B5137" w:rsidRDefault="00000000">
      <w:pPr>
        <w:pStyle w:val="BodyText"/>
      </w:pPr>
      <w:r>
        <w:t xml:space="preserve">The genesis for this project was my reading the material on work in Karl Löwith’s </w:t>
      </w:r>
      <w:r>
        <w:rPr>
          <w:i/>
        </w:rPr>
        <w:t>From Hegel to Nietzsche</w:t>
      </w:r>
      <w:r>
        <w:t xml:space="preserve"> </w:t>
      </w:r>
      <w:r w:rsidR="00235FBB">
        <w:rPr>
          <w:rStyle w:val="EndnoteReference"/>
        </w:rPr>
        <w:endnoteReference w:id="1"/>
      </w:r>
      <w:r w:rsidR="00235FBB">
        <w:t xml:space="preserve"> </w:t>
      </w:r>
      <w:r>
        <w:t>and being struck by how divergent the views of work were even on one continent (and mostly from one country</w:t>
      </w:r>
      <w:r w:rsidR="00DD2808">
        <w:t>, Germany</w:t>
      </w:r>
      <w:r>
        <w:t xml:space="preserve">) during the course of one </w:t>
      </w:r>
      <w:r w:rsidR="00DD2808">
        <w:t>(the 19</w:t>
      </w:r>
      <w:r w:rsidR="00DD2808" w:rsidRPr="00DD2808">
        <w:rPr>
          <w:vertAlign w:val="superscript"/>
        </w:rPr>
        <w:t>th</w:t>
      </w:r>
      <w:r w:rsidR="00DD2808">
        <w:t xml:space="preserve">) </w:t>
      </w:r>
      <w:r>
        <w:t>century. I gradually began collecting writings about work from other times and places, and decided it would be useful to explore how variously it has been conceived by different major thinkers</w:t>
      </w:r>
      <w:r w:rsidR="00DD2808">
        <w:t>, with the aim of clarifying how we have arrived at our “double vision” of work</w:t>
      </w:r>
      <w:r>
        <w:t>. These conceptions run the gamut from viewing work as positively opposed to living the best life, to seeing it as the most essential part of living the best life.</w:t>
      </w:r>
    </w:p>
    <w:p w14:paraId="7DCFBFD2" w14:textId="13AAF14E" w:rsidR="00DD2808" w:rsidRDefault="00000000">
      <w:pPr>
        <w:pStyle w:val="BodyText"/>
      </w:pPr>
      <w:r>
        <w:t>Reflections on work are back in vogue, with recent notable works on the topic by</w:t>
      </w:r>
      <w:r w:rsidR="00E538BA">
        <w:t xml:space="preserve"> Ehmer and Lis</w:t>
      </w:r>
      <w:r w:rsidR="00E538BA">
        <w:rPr>
          <w:rStyle w:val="EndnoteReference"/>
        </w:rPr>
        <w:endnoteReference w:id="2"/>
      </w:r>
      <w:r w:rsidR="00E538BA">
        <w:t>,</w:t>
      </w:r>
      <w:r>
        <w:t xml:space="preserve"> </w:t>
      </w:r>
      <w:r w:rsidR="00A23D9E">
        <w:t xml:space="preserve">Lis and </w:t>
      </w:r>
      <w:proofErr w:type="spellStart"/>
      <w:r w:rsidR="00A23D9E">
        <w:t>Soly</w:t>
      </w:r>
      <w:proofErr w:type="spellEnd"/>
      <w:r w:rsidR="00A23D9E">
        <w:rPr>
          <w:rStyle w:val="EndnoteReference"/>
        </w:rPr>
        <w:endnoteReference w:id="3"/>
      </w:r>
      <w:r w:rsidR="00A23D9E">
        <w:t xml:space="preserve">, </w:t>
      </w:r>
      <w:proofErr w:type="spellStart"/>
      <w:r>
        <w:t>Geuss</w:t>
      </w:r>
      <w:proofErr w:type="spellEnd"/>
      <w:r w:rsidR="00B96F78">
        <w:rPr>
          <w:rStyle w:val="EndnoteReference"/>
        </w:rPr>
        <w:endnoteReference w:id="4"/>
      </w:r>
      <w:r>
        <w:t>, Graeber</w:t>
      </w:r>
      <w:r w:rsidR="00B96F78">
        <w:rPr>
          <w:rStyle w:val="EndnoteReference"/>
        </w:rPr>
        <w:endnoteReference w:id="5"/>
      </w:r>
      <w:r>
        <w:t>, Lucassen</w:t>
      </w:r>
      <w:r w:rsidR="00B96F78">
        <w:rPr>
          <w:rStyle w:val="EndnoteReference"/>
        </w:rPr>
        <w:endnoteReference w:id="6"/>
      </w:r>
      <w:r w:rsidR="008578E1">
        <w:t>, Anderson</w:t>
      </w:r>
      <w:r w:rsidR="008578E1">
        <w:rPr>
          <w:rStyle w:val="EndnoteReference"/>
        </w:rPr>
        <w:endnoteReference w:id="7"/>
      </w:r>
      <w:r>
        <w:t xml:space="preserve"> and </w:t>
      </w:r>
      <w:proofErr w:type="spellStart"/>
      <w:r>
        <w:t>Suzman</w:t>
      </w:r>
      <w:proofErr w:type="spellEnd"/>
      <w:r w:rsidR="00B96F78">
        <w:rPr>
          <w:rStyle w:val="EndnoteReference"/>
        </w:rPr>
        <w:endnoteReference w:id="8"/>
      </w:r>
      <w:r>
        <w:t>, among others.</w:t>
      </w:r>
      <w:r w:rsidR="00DD2808">
        <w:t xml:space="preserve"> </w:t>
      </w:r>
      <w:r w:rsidR="00DD2808" w:rsidRPr="00D77EAF">
        <w:t>Raymond Guess</w:t>
      </w:r>
      <w:r w:rsidR="00DD2808">
        <w:t xml:space="preserve">’s </w:t>
      </w:r>
      <w:r w:rsidR="00DD2808" w:rsidRPr="00D77EAF">
        <w:rPr>
          <w:i/>
          <w:iCs/>
        </w:rPr>
        <w:t>A Philosopher Looks at Work</w:t>
      </w:r>
      <w:r w:rsidR="00DD2808">
        <w:t xml:space="preserve"> is, as the title suggests, a meditation on the role of work in human life. Given that </w:t>
      </w:r>
      <w:proofErr w:type="spellStart"/>
      <w:r w:rsidR="00DD2808">
        <w:t>Geuss</w:t>
      </w:r>
      <w:proofErr w:type="spellEnd"/>
      <w:r w:rsidR="00DD2808">
        <w:t xml:space="preserve"> believes that for environmental reasons we must change our lives to both produce less and consume less, we must replace work as traditionally conceived by new ways to be active, which nevertheless perform the “anthropological” </w:t>
      </w:r>
      <w:r w:rsidR="00BB2622">
        <w:t>role of lending meaning to our lives.</w:t>
      </w:r>
    </w:p>
    <w:p w14:paraId="4459501B" w14:textId="287683FD" w:rsidR="003D6245" w:rsidRPr="003D6245" w:rsidRDefault="003D6245">
      <w:pPr>
        <w:pStyle w:val="BodyText"/>
      </w:pPr>
      <w:r>
        <w:rPr>
          <w:rFonts w:cstheme="majorHAnsi"/>
        </w:rPr>
        <w:t xml:space="preserve">Elizabeth Anderson’s </w:t>
      </w:r>
      <w:r w:rsidRPr="003D6245">
        <w:rPr>
          <w:rFonts w:cstheme="majorHAnsi"/>
          <w:i/>
          <w:iCs/>
        </w:rPr>
        <w:t>Hijacked</w:t>
      </w:r>
      <w:r>
        <w:rPr>
          <w:rFonts w:cstheme="majorHAnsi"/>
        </w:rPr>
        <w:t xml:space="preserve"> contends that there is a conflict between what she calls the “progressive work ethic,” which holds that workers a</w:t>
      </w:r>
      <w:r w:rsidR="00E82E11">
        <w:rPr>
          <w:rFonts w:cstheme="majorHAnsi"/>
        </w:rPr>
        <w:t>re</w:t>
      </w:r>
      <w:r>
        <w:rPr>
          <w:rFonts w:cstheme="majorHAnsi"/>
        </w:rPr>
        <w:t xml:space="preserve"> entitled to “respect, decent pay, and safe working conditions,” and the “conservative work ethic,” which holds they have “a duty to work relentlessly, without complaint, under whatever awful conditions and low pay their employer can impose in pursuit of maximum profit</w:t>
      </w:r>
      <w:r w:rsidR="00E82E11">
        <w:rPr>
          <w:rFonts w:cstheme="majorHAnsi"/>
        </w:rPr>
        <w:t>.</w:t>
      </w:r>
      <w:r>
        <w:rPr>
          <w:rFonts w:cstheme="majorHAnsi"/>
        </w:rPr>
        <w:t>”</w:t>
      </w:r>
      <w:r w:rsidR="00E82E11">
        <w:rPr>
          <w:rFonts w:cstheme="majorHAnsi"/>
        </w:rPr>
        <w:t xml:space="preserve"> She argues that these two views have been struggling for supremacy for the last three centuries. No socialist, she admits that “the old socialist ideal of comprehensive state ownership of the means of production and centralized planning field disastrously.”</w:t>
      </w:r>
      <w:r w:rsidR="00E82E11">
        <w:rPr>
          <w:rStyle w:val="EndnoteReference"/>
          <w:rFonts w:cstheme="majorHAnsi"/>
        </w:rPr>
        <w:endnoteReference w:id="9"/>
      </w:r>
      <w:r w:rsidR="00E82E11">
        <w:rPr>
          <w:rFonts w:cstheme="majorHAnsi"/>
        </w:rPr>
        <w:t xml:space="preserve"> She argues that while neoliberals, upon whom she lays the blame for the ascendancy of the </w:t>
      </w:r>
      <w:r w:rsidR="00C26D40">
        <w:rPr>
          <w:rFonts w:cstheme="majorHAnsi"/>
        </w:rPr>
        <w:t>latter view, believe they are liberating individuals to pursue their own self-interest as they see fit, in fact, “The neoliberal preference for market ordering over state regulation and provision does not liberate ordinary people from the government. It entrenches the commodification of labor, under which most people have no alternative, but to submit arbitrary government of employers to survive.”</w:t>
      </w:r>
      <w:r w:rsidR="00C26D40">
        <w:rPr>
          <w:rStyle w:val="EndnoteReference"/>
          <w:rFonts w:cstheme="majorHAnsi"/>
        </w:rPr>
        <w:endnoteReference w:id="10"/>
      </w:r>
      <w:r w:rsidR="00C26D40">
        <w:rPr>
          <w:rFonts w:cstheme="majorHAnsi"/>
        </w:rPr>
        <w:t xml:space="preserve"> Here, one might quibble with her characterization of the neoliberal approach as “conservative,” since economic thought in the Middle Ages would very much have been inclined towards what she calls the “progressive” approach. Nevertheless, she makes sound arguments as to how the state might offset the power of global capital to improve workers’ lives.</w:t>
      </w:r>
    </w:p>
    <w:p w14:paraId="69AD4B1B" w14:textId="5580939A" w:rsidR="00FD54E8" w:rsidRDefault="00BB2622">
      <w:pPr>
        <w:pStyle w:val="BodyText"/>
        <w:rPr>
          <w:iCs/>
        </w:rPr>
      </w:pPr>
      <w:r>
        <w:lastRenderedPageBreak/>
        <w:t xml:space="preserve">David Graeber’s book </w:t>
      </w:r>
      <w:r w:rsidRPr="00BB2622">
        <w:rPr>
          <w:i/>
        </w:rPr>
        <w:t>Bullshit Jobs</w:t>
      </w:r>
      <w:r w:rsidRPr="00BB2622">
        <w:rPr>
          <w:iCs/>
        </w:rPr>
        <w:t xml:space="preserve"> addresses </w:t>
      </w:r>
      <w:r>
        <w:rPr>
          <w:iCs/>
        </w:rPr>
        <w:t>the jobs that he views as “pointless,” such as those held by</w:t>
      </w:r>
      <w:r w:rsidR="00076A51">
        <w:rPr>
          <w:iCs/>
        </w:rPr>
        <w:t xml:space="preserve"> “</w:t>
      </w:r>
      <w:r w:rsidR="00076A51" w:rsidRPr="00076A51">
        <w:rPr>
          <w:iCs/>
        </w:rPr>
        <w:t>private equity CEOs, lobbyists, PR researchers, actuaries, telemarketers, bailiffs or legal consultants</w:t>
      </w:r>
      <w:r w:rsidR="00076A51">
        <w:rPr>
          <w:iCs/>
        </w:rPr>
        <w:t>.”</w:t>
      </w:r>
      <w:r w:rsidR="00076A51">
        <w:rPr>
          <w:rStyle w:val="EndnoteReference"/>
          <w:iCs/>
        </w:rPr>
        <w:endnoteReference w:id="11"/>
      </w:r>
      <w:r w:rsidR="00076A51">
        <w:rPr>
          <w:iCs/>
        </w:rPr>
        <w:t xml:space="preserve"> </w:t>
      </w:r>
      <w:r w:rsidR="00F07866">
        <w:rPr>
          <w:iCs/>
        </w:rPr>
        <w:t xml:space="preserve">And he notes that these jobs often pay more than “real” jobs, such as garbage collectors, poets, ska musicians, or cabinet makers. </w:t>
      </w:r>
      <w:r w:rsidR="00076A51">
        <w:rPr>
          <w:iCs/>
        </w:rPr>
        <w:t xml:space="preserve">His explanation as to why people with money pay others to do jobs that are pointless </w:t>
      </w:r>
      <w:r w:rsidR="00F07866">
        <w:rPr>
          <w:iCs/>
        </w:rPr>
        <w:t>is that these are “</w:t>
      </w:r>
      <w:r w:rsidR="00F07866" w:rsidRPr="00F07866">
        <w:rPr>
          <w:iCs/>
        </w:rPr>
        <w:t>positions designed to make them identify with the perspectives and sensibilities of the ruling class</w:t>
      </w:r>
      <w:r w:rsidR="00F07866">
        <w:rPr>
          <w:iCs/>
        </w:rPr>
        <w:t xml:space="preserve">”… but he offers no explanation as to why any </w:t>
      </w:r>
      <w:r w:rsidR="00F07866" w:rsidRPr="00F07866">
        <w:rPr>
          <w:i/>
        </w:rPr>
        <w:t>particular</w:t>
      </w:r>
      <w:r w:rsidR="00F07866">
        <w:rPr>
          <w:iCs/>
        </w:rPr>
        <w:t xml:space="preserve"> company should take on the burden of employing people just so they identify with the ruling class: clearly, there is quite a bit of expense involved. Why should a profit-seeking company not simply pay for the labor it actually needs, while leaving it to somebody else to worry about getting people to identify with the ruling class? Graeber’s theory seems to leave a huge hole through which companies can defect from this ruling class scheme and maximize their own profits while free-riding on the political work done by companies that do employ “bullshit” labor… which ought to lead more and more companies to defect until the bullshit jobs disappear. </w:t>
      </w:r>
    </w:p>
    <w:p w14:paraId="2341DE09" w14:textId="42604C3B" w:rsidR="00FD54E8" w:rsidRPr="00FD54E8" w:rsidRDefault="00FD54E8" w:rsidP="00FD54E8">
      <w:pPr>
        <w:pStyle w:val="BodyText"/>
        <w:rPr>
          <w:iCs/>
        </w:rPr>
      </w:pPr>
      <w:r>
        <w:rPr>
          <w:iCs/>
        </w:rPr>
        <w:t xml:space="preserve">In </w:t>
      </w:r>
      <w:r w:rsidRPr="00FD54E8">
        <w:rPr>
          <w:i/>
        </w:rPr>
        <w:t>Work</w:t>
      </w:r>
      <w:r>
        <w:rPr>
          <w:iCs/>
        </w:rPr>
        <w:t xml:space="preserve">, James </w:t>
      </w:r>
      <w:proofErr w:type="spellStart"/>
      <w:r w:rsidRPr="00FD54E8">
        <w:rPr>
          <w:iCs/>
        </w:rPr>
        <w:t>Suzman</w:t>
      </w:r>
      <w:proofErr w:type="spellEnd"/>
      <w:r w:rsidRPr="00FD54E8">
        <w:rPr>
          <w:iCs/>
        </w:rPr>
        <w:t xml:space="preserve"> offers a lively and informative “deep history” of </w:t>
      </w:r>
      <w:r>
        <w:rPr>
          <w:iCs/>
        </w:rPr>
        <w:t>the subject</w:t>
      </w:r>
      <w:r w:rsidRPr="00FD54E8">
        <w:rPr>
          <w:iCs/>
        </w:rPr>
        <w:t xml:space="preserve">. Our hunter-gatherer ancestors in Africa, he contends, lived in small, highly egalitarian bands characterize by a sharing economy. They generally did little to stockpile food, as their environment reliably would provide them with each day’s caloric requirements. And what more, these groups could collect and hunt the food they needed for the day and only a few hours of work. Germane to our topic in this book, </w:t>
      </w:r>
      <w:proofErr w:type="spellStart"/>
      <w:r w:rsidRPr="00FD54E8">
        <w:rPr>
          <w:iCs/>
        </w:rPr>
        <w:t>Suzman</w:t>
      </w:r>
      <w:proofErr w:type="spellEnd"/>
      <w:r w:rsidRPr="00FD54E8">
        <w:rPr>
          <w:iCs/>
        </w:rPr>
        <w:t xml:space="preserve"> says that this meant that the group members had a good deal of leisure time, which “raises the tantalizing prospect that in evolutionary terms, we may well be as much a product of our leisure as our labor.”</w:t>
      </w:r>
      <w:r>
        <w:rPr>
          <w:rStyle w:val="EndnoteReference"/>
          <w:iCs/>
        </w:rPr>
        <w:endnoteReference w:id="12"/>
      </w:r>
    </w:p>
    <w:p w14:paraId="7A15D39C" w14:textId="18D57E71" w:rsidR="00FD54E8" w:rsidRPr="00FD54E8" w:rsidRDefault="00FD54E8" w:rsidP="00FD54E8">
      <w:pPr>
        <w:pStyle w:val="BodyText"/>
        <w:rPr>
          <w:iCs/>
        </w:rPr>
      </w:pPr>
      <w:r w:rsidRPr="00FD54E8">
        <w:rPr>
          <w:iCs/>
        </w:rPr>
        <w:t>The first step towards our contemporary economic system came when humans ventured northward, into climates where advanced planning to store up provisions for frozen winter months was necessary. But it was the onset of agriculture that had the biggest impact in moving us towards our modern attitudes to work and saving. I focusing on only a few plants and animals for the livelihood, farmers put themselves at much greater risk of catastrophe than hunter gatherers. And interestingly, the advent of agricultural lifestyles was not significant improvement in the human condition. There was no increase in the longevity of human beings, and remains that have been analyzed show a host of health issues.</w:t>
      </w:r>
      <w:r>
        <w:rPr>
          <w:rStyle w:val="EndnoteReference"/>
          <w:iCs/>
        </w:rPr>
        <w:endnoteReference w:id="13"/>
      </w:r>
    </w:p>
    <w:p w14:paraId="3264107E" w14:textId="6F14AD03" w:rsidR="00FD54E8" w:rsidRPr="00FD54E8" w:rsidRDefault="00FD54E8" w:rsidP="00FD54E8">
      <w:pPr>
        <w:pStyle w:val="BodyText"/>
        <w:rPr>
          <w:iCs/>
        </w:rPr>
      </w:pPr>
      <w:r w:rsidRPr="00FD54E8">
        <w:rPr>
          <w:iCs/>
        </w:rPr>
        <w:t>This interesting and informative history is unfortunately peppered with intrusions of the author’s own political stances. For example, he wipes the country of Israel off the map when he says that “the oldest clear evidence for plant domestication occurs in… the Levant, a region that extends across modern Palestine, Lebanon, Syria, and Turkey”.</w:t>
      </w:r>
      <w:r>
        <w:rPr>
          <w:rStyle w:val="EndnoteReference"/>
          <w:iCs/>
        </w:rPr>
        <w:endnoteReference w:id="14"/>
      </w:r>
      <w:r w:rsidRPr="00FD54E8">
        <w:rPr>
          <w:iCs/>
        </w:rPr>
        <w:t xml:space="preserve"> He uses the term “late capitalism”,</w:t>
      </w:r>
      <w:r w:rsidRPr="00FD54E8">
        <w:rPr>
          <w:rStyle w:val="EndnoteReference"/>
          <w:iCs/>
        </w:rPr>
        <w:t xml:space="preserve"> </w:t>
      </w:r>
      <w:r>
        <w:rPr>
          <w:rStyle w:val="EndnoteReference"/>
          <w:iCs/>
        </w:rPr>
        <w:endnoteReference w:id="15"/>
      </w:r>
      <w:r w:rsidRPr="00FD54E8">
        <w:rPr>
          <w:iCs/>
        </w:rPr>
        <w:t xml:space="preserve"> which implies he is a fortuneteller, who can say exactly how far along we are in the history of capitalism, whatever we might take “capitalism” to mean.</w:t>
      </w:r>
    </w:p>
    <w:p w14:paraId="43D97F53" w14:textId="77777777" w:rsidR="00FD54E8" w:rsidRPr="00FD54E8" w:rsidRDefault="00FD54E8" w:rsidP="00FD54E8">
      <w:pPr>
        <w:pStyle w:val="BodyText"/>
        <w:rPr>
          <w:iCs/>
        </w:rPr>
      </w:pPr>
    </w:p>
    <w:p w14:paraId="09F66CEC" w14:textId="77777777" w:rsidR="00FD54E8" w:rsidRPr="00FD54E8" w:rsidRDefault="00FD54E8" w:rsidP="00FD54E8">
      <w:pPr>
        <w:pStyle w:val="BodyText"/>
        <w:rPr>
          <w:iCs/>
        </w:rPr>
      </w:pPr>
    </w:p>
    <w:p w14:paraId="4DBD3E13" w14:textId="77777777" w:rsidR="00FD54E8" w:rsidRPr="00FD54E8" w:rsidRDefault="00FD54E8" w:rsidP="00FD54E8">
      <w:pPr>
        <w:pStyle w:val="BodyText"/>
        <w:rPr>
          <w:iCs/>
        </w:rPr>
      </w:pPr>
    </w:p>
    <w:p w14:paraId="70033C69" w14:textId="77777777" w:rsidR="00FD54E8" w:rsidRPr="00FD54E8" w:rsidRDefault="00FD54E8" w:rsidP="00FD54E8">
      <w:pPr>
        <w:pStyle w:val="BodyText"/>
        <w:rPr>
          <w:iCs/>
        </w:rPr>
      </w:pPr>
    </w:p>
    <w:p w14:paraId="58CA011E" w14:textId="62DFCEEE" w:rsidR="00FD54E8" w:rsidRPr="00FD54E8" w:rsidRDefault="00FD54E8" w:rsidP="00FD54E8">
      <w:pPr>
        <w:pStyle w:val="BodyText"/>
        <w:rPr>
          <w:iCs/>
        </w:rPr>
      </w:pPr>
      <w:r w:rsidRPr="00FD54E8">
        <w:rPr>
          <w:iCs/>
        </w:rPr>
        <w:lastRenderedPageBreak/>
        <w:t>Suzman’s claim that societies where individual share their goods whenever someone else demands them are “highly individualistic”</w:t>
      </w:r>
      <w:r>
        <w:rPr>
          <w:rStyle w:val="EndnoteReference"/>
          <w:iCs/>
        </w:rPr>
        <w:endnoteReference w:id="16"/>
      </w:r>
      <w:r w:rsidRPr="00FD54E8">
        <w:rPr>
          <w:iCs/>
        </w:rPr>
        <w:t xml:space="preserve"> abuses the notion of individualism. Simply because no single person has authority over any individual member of the society does not mean that they are free to act in their own idiosyncratic manner. In such societies, tradition is the authority constraining the choices of individuals. Actual “highly individualistic“ members of modern western societies would hardly find that such cultures gave free rein to their individuality.</w:t>
      </w:r>
    </w:p>
    <w:p w14:paraId="66772076" w14:textId="40AB5B9A" w:rsidR="00FD54E8" w:rsidRDefault="00FD54E8">
      <w:pPr>
        <w:pStyle w:val="BodyText"/>
        <w:rPr>
          <w:iCs/>
        </w:rPr>
      </w:pPr>
      <w:proofErr w:type="spellStart"/>
      <w:r w:rsidRPr="00FD54E8">
        <w:rPr>
          <w:iCs/>
        </w:rPr>
        <w:t>Suzman</w:t>
      </w:r>
      <w:proofErr w:type="spellEnd"/>
      <w:r w:rsidRPr="00FD54E8">
        <w:rPr>
          <w:iCs/>
        </w:rPr>
        <w:t xml:space="preserve"> also lacks a grasp of modern economic theory, and by modern, I mean economic theory after the 1870s. He writes, “[Economists] dispose of questions such as why nonessential things like diamonds are more valuable than essential things like water as the ‘paradox of value.’”</w:t>
      </w:r>
      <w:r>
        <w:rPr>
          <w:rStyle w:val="EndnoteReference"/>
          <w:iCs/>
        </w:rPr>
        <w:endnoteReference w:id="17"/>
      </w:r>
      <w:r w:rsidRPr="00FD54E8">
        <w:rPr>
          <w:iCs/>
        </w:rPr>
        <w:t xml:space="preserve"> but the marginal revolution of the 1870s solved that problem, and no trained economist would any longer “dispose“ of this question by citing that “paradox.” He goes on to claim that “social anthropologists… unlike economists are interested in understanding why in some contexts, such as cities, diamonds are more valuable than water, whereas in others, such as traditional foraging communities in the Kalahari desert… diamonds were worthless but water was priceless.”</w:t>
      </w:r>
      <w:r w:rsidR="00C93A69">
        <w:rPr>
          <w:rStyle w:val="EndnoteReference"/>
          <w:iCs/>
        </w:rPr>
        <w:endnoteReference w:id="18"/>
      </w:r>
      <w:r w:rsidRPr="00FD54E8">
        <w:rPr>
          <w:iCs/>
        </w:rPr>
        <w:t xml:space="preserve"> But this is precisely what the marginal theory of value does explain!</w:t>
      </w:r>
    </w:p>
    <w:p w14:paraId="60BDC7C0" w14:textId="0084E87D" w:rsidR="00440C86" w:rsidRDefault="00054BEF">
      <w:pPr>
        <w:pStyle w:val="BodyText"/>
        <w:rPr>
          <w:iCs/>
        </w:rPr>
      </w:pPr>
      <w:r>
        <w:rPr>
          <w:iCs/>
        </w:rPr>
        <w:t xml:space="preserve">Jan Lucassen’s </w:t>
      </w:r>
      <w:r w:rsidRPr="00054BEF">
        <w:rPr>
          <w:i/>
        </w:rPr>
        <w:t>The Story of Work</w:t>
      </w:r>
      <w:r>
        <w:rPr>
          <w:iCs/>
        </w:rPr>
        <w:t xml:space="preserve"> is similar to </w:t>
      </w:r>
      <w:proofErr w:type="spellStart"/>
      <w:r>
        <w:rPr>
          <w:iCs/>
        </w:rPr>
        <w:t>Suzman’s</w:t>
      </w:r>
      <w:proofErr w:type="spellEnd"/>
      <w:r>
        <w:rPr>
          <w:iCs/>
        </w:rPr>
        <w:t xml:space="preserve"> book: it is another deep history, this time looking back as far as our primate ancestors.</w:t>
      </w:r>
      <w:r w:rsidR="007266FF">
        <w:rPr>
          <w:iCs/>
        </w:rPr>
        <w:t xml:space="preserve"> </w:t>
      </w:r>
      <w:r w:rsidR="00440C86">
        <w:rPr>
          <w:iCs/>
        </w:rPr>
        <w:t xml:space="preserve">But </w:t>
      </w:r>
      <w:r w:rsidR="00440C86">
        <w:rPr>
          <w:iCs/>
        </w:rPr>
        <w:t>Lucassen’s</w:t>
      </w:r>
      <w:r w:rsidR="00440C86">
        <w:rPr>
          <w:iCs/>
        </w:rPr>
        <w:t xml:space="preserve"> book is more oriented towards scholars and less towards a general audience than is </w:t>
      </w:r>
      <w:proofErr w:type="spellStart"/>
      <w:r w:rsidR="00440C86">
        <w:rPr>
          <w:iCs/>
        </w:rPr>
        <w:t>Suzman’s</w:t>
      </w:r>
      <w:proofErr w:type="spellEnd"/>
      <w:r w:rsidR="00440C86">
        <w:rPr>
          <w:iCs/>
        </w:rPr>
        <w:t>.</w:t>
      </w:r>
    </w:p>
    <w:p w14:paraId="15B6A50C" w14:textId="49A52D0A" w:rsidR="00054BEF" w:rsidRDefault="00BE6D05">
      <w:pPr>
        <w:pStyle w:val="BodyText"/>
        <w:rPr>
          <w:iCs/>
        </w:rPr>
      </w:pPr>
      <w:r>
        <w:rPr>
          <w:iCs/>
        </w:rPr>
        <w:t>An interesting aspect of Lucassen’s book is his abandoning of the terms “capitalism” and “modern,” which he contends (a contention with which I agree!) have lost their analytical usefulness:</w:t>
      </w:r>
    </w:p>
    <w:p w14:paraId="75D8D7C8" w14:textId="038DD4F2" w:rsidR="00054BEF" w:rsidRPr="00054BEF" w:rsidRDefault="00054BEF" w:rsidP="00054BEF">
      <w:pPr>
        <w:pStyle w:val="BodyText"/>
        <w:rPr>
          <w:iCs/>
        </w:rPr>
      </w:pPr>
      <w:r>
        <w:rPr>
          <w:iCs/>
        </w:rPr>
        <w:t>“</w:t>
      </w:r>
      <w:r w:rsidRPr="00054BEF">
        <w:rPr>
          <w:iCs/>
        </w:rPr>
        <w:t>Other recent participants in this debate propose [capitalism’s] origins as being: in the early middle ages… between 1400 and 1800; circa 1500 or 1600; between 1600 and 1800; or in the industrialization period of 1850-1920…</w:t>
      </w:r>
    </w:p>
    <w:p w14:paraId="1ADB10F0" w14:textId="6635B286" w:rsidR="00054BEF" w:rsidRPr="00054BEF" w:rsidRDefault="00054BEF" w:rsidP="00054BEF">
      <w:pPr>
        <w:pStyle w:val="BodyText"/>
        <w:rPr>
          <w:iCs/>
        </w:rPr>
      </w:pPr>
      <w:r>
        <w:rPr>
          <w:iCs/>
        </w:rPr>
        <w:t>“</w:t>
      </w:r>
      <w:r w:rsidRPr="00054BEF">
        <w:rPr>
          <w:iCs/>
        </w:rPr>
        <w:t xml:space="preserve">In short, the central concepts of capitalism and modernity are now in flux… for this reason, I have refrain from giving the terms </w:t>
      </w:r>
      <w:r w:rsidRPr="00054BEF">
        <w:rPr>
          <w:i/>
          <w:iCs/>
        </w:rPr>
        <w:t>capitalism</w:t>
      </w:r>
      <w:r w:rsidRPr="00054BEF">
        <w:rPr>
          <w:iCs/>
        </w:rPr>
        <w:t xml:space="preserve">… and </w:t>
      </w:r>
      <w:r w:rsidRPr="00054BEF">
        <w:rPr>
          <w:i/>
          <w:iCs/>
        </w:rPr>
        <w:t>modern</w:t>
      </w:r>
      <w:r w:rsidRPr="00054BEF">
        <w:rPr>
          <w:iCs/>
        </w:rPr>
        <w:t>… a central place in this book… because I believe that these terms have become so contaminated in the discussions of the last one to one-and-a-half centuries that they have largely lost their analytical power</w:t>
      </w:r>
      <w:r>
        <w:rPr>
          <w:iCs/>
        </w:rPr>
        <w:t>…”</w:t>
      </w:r>
      <w:r w:rsidR="00BE6D05">
        <w:rPr>
          <w:rStyle w:val="EndnoteReference"/>
          <w:iCs/>
        </w:rPr>
        <w:endnoteReference w:id="19"/>
      </w:r>
    </w:p>
    <w:p w14:paraId="392C39FE" w14:textId="58C8868C" w:rsidR="00054BEF" w:rsidRPr="00054BEF" w:rsidRDefault="0008372F" w:rsidP="00054BEF">
      <w:pPr>
        <w:pStyle w:val="BodyText"/>
        <w:rPr>
          <w:iCs/>
        </w:rPr>
      </w:pPr>
      <w:r>
        <w:rPr>
          <w:iCs/>
        </w:rPr>
        <w:t xml:space="preserve">In regards to the question of whether </w:t>
      </w:r>
      <w:r w:rsidR="00440C86">
        <w:rPr>
          <w:iCs/>
        </w:rPr>
        <w:t xml:space="preserve">work </w:t>
      </w:r>
      <w:r>
        <w:rPr>
          <w:iCs/>
        </w:rPr>
        <w:t xml:space="preserve">is an unfortunate burden laid on humankind after the fall, or instead an essential aspect of our being, </w:t>
      </w:r>
      <w:r w:rsidRPr="00054BEF">
        <w:rPr>
          <w:iCs/>
        </w:rPr>
        <w:t>Lucassen</w:t>
      </w:r>
      <w:r>
        <w:rPr>
          <w:iCs/>
        </w:rPr>
        <w:t xml:space="preserve"> votes for the latter:</w:t>
      </w:r>
    </w:p>
    <w:p w14:paraId="1AC3DC99" w14:textId="32501200" w:rsidR="00054BEF" w:rsidRPr="00054BEF" w:rsidRDefault="0008372F" w:rsidP="00054BEF">
      <w:pPr>
        <w:pStyle w:val="BodyText"/>
        <w:rPr>
          <w:iCs/>
        </w:rPr>
      </w:pPr>
      <w:r>
        <w:rPr>
          <w:iCs/>
        </w:rPr>
        <w:t>“</w:t>
      </w:r>
      <w:r w:rsidR="00054BEF" w:rsidRPr="00054BEF">
        <w:rPr>
          <w:iCs/>
        </w:rPr>
        <w:t>The long-term experience of humankind shows not only that work is necessary for our survival… Work is more than that: the sense of fulfillment that it brings makes it indispensable for our self-esteem and the regard of our peers.</w:t>
      </w:r>
      <w:r>
        <w:rPr>
          <w:iCs/>
        </w:rPr>
        <w:t>”</w:t>
      </w:r>
      <w:r w:rsidR="007266FF">
        <w:rPr>
          <w:rStyle w:val="EndnoteReference"/>
          <w:iCs/>
        </w:rPr>
        <w:endnoteReference w:id="20"/>
      </w:r>
    </w:p>
    <w:p w14:paraId="068C96E9" w14:textId="50591000" w:rsidR="00054BEF" w:rsidRPr="00054BEF" w:rsidRDefault="0008372F" w:rsidP="00054BEF">
      <w:pPr>
        <w:pStyle w:val="BodyText"/>
        <w:rPr>
          <w:iCs/>
        </w:rPr>
      </w:pPr>
      <w:r>
        <w:rPr>
          <w:iCs/>
        </w:rPr>
        <w:t xml:space="preserve">As valuable as </w:t>
      </w:r>
      <w:r w:rsidR="00054BEF" w:rsidRPr="00054BEF">
        <w:rPr>
          <w:iCs/>
        </w:rPr>
        <w:t xml:space="preserve">Lucassen’s work </w:t>
      </w:r>
      <w:r>
        <w:rPr>
          <w:iCs/>
        </w:rPr>
        <w:t xml:space="preserve">is, it </w:t>
      </w:r>
      <w:r w:rsidR="00054BEF" w:rsidRPr="00054BEF">
        <w:rPr>
          <w:iCs/>
        </w:rPr>
        <w:t>is not without its own contentious political intrusions. He writes the adoption of agriculture initiated the “unfair remuneration for work performed by the many for the few. Whereas before the advent of agriculture and animal husbandry remuneration was directly connected to the effort made, from now on efforts and reward could diverge.”</w:t>
      </w:r>
      <w:r w:rsidR="007266FF">
        <w:rPr>
          <w:rStyle w:val="EndnoteReference"/>
          <w:iCs/>
        </w:rPr>
        <w:endnoteReference w:id="21"/>
      </w:r>
      <w:r w:rsidR="00054BEF" w:rsidRPr="00054BEF">
        <w:rPr>
          <w:iCs/>
        </w:rPr>
        <w:t xml:space="preserve"> There are two problems here: although there are certainly </w:t>
      </w:r>
      <w:r w:rsidR="00054BEF" w:rsidRPr="00054BEF">
        <w:rPr>
          <w:iCs/>
        </w:rPr>
        <w:lastRenderedPageBreak/>
        <w:t>many instances in history of some people simply robbing others of their production, Lucassen does not even consider the possibility that those who rose to the top of the emerging hierarchies were simply the most productive agriculturalists, or perhaps the warriors best at defending agricultural surpluses from marauding bandits. And indeed Lucassen offers no alternative explanation for how such inequality could have initially arisen. He makes a vague nod towards “religion” as being somehow involved, but does not explain how a religion justifying inequalities could arise in the absence of pre-existing inequality.</w:t>
      </w:r>
    </w:p>
    <w:p w14:paraId="533C88E1" w14:textId="3ABDECB5" w:rsidR="00FD54E8" w:rsidRPr="00BB2622" w:rsidRDefault="00054BEF">
      <w:pPr>
        <w:pStyle w:val="BodyText"/>
        <w:rPr>
          <w:iCs/>
        </w:rPr>
      </w:pPr>
      <w:r w:rsidRPr="00054BEF">
        <w:rPr>
          <w:iCs/>
        </w:rPr>
        <w:t xml:space="preserve">Secondly, as extensively documented by himself and others (such as </w:t>
      </w:r>
      <w:proofErr w:type="spellStart"/>
      <w:r w:rsidRPr="00054BEF">
        <w:rPr>
          <w:iCs/>
        </w:rPr>
        <w:t>Suzman</w:t>
      </w:r>
      <w:proofErr w:type="spellEnd"/>
      <w:r w:rsidRPr="00054BEF">
        <w:rPr>
          <w:iCs/>
        </w:rPr>
        <w:t xml:space="preserve">), reward in hunter-gatherer bands was </w:t>
      </w:r>
      <w:r w:rsidRPr="00054BEF">
        <w:rPr>
          <w:i/>
          <w:iCs/>
        </w:rPr>
        <w:t>not</w:t>
      </w:r>
      <w:r w:rsidRPr="00054BEF">
        <w:rPr>
          <w:iCs/>
        </w:rPr>
        <w:t xml:space="preserve"> directly connected with effort made: the results of a hunt were divided equally, whatever the effort any particular member had put into that hunt. Perhaps such a system is preferable to one that </w:t>
      </w:r>
      <w:r w:rsidRPr="00431CAA">
        <w:rPr>
          <w:i/>
        </w:rPr>
        <w:t>does</w:t>
      </w:r>
      <w:r w:rsidRPr="00054BEF">
        <w:rPr>
          <w:iCs/>
        </w:rPr>
        <w:t xml:space="preserve"> directly connect effort and reward, but that does not excuse conflating the</w:t>
      </w:r>
      <w:r w:rsidR="00431CAA">
        <w:rPr>
          <w:iCs/>
        </w:rPr>
        <w:t xml:space="preserve"> two</w:t>
      </w:r>
      <w:r w:rsidRPr="00054BEF">
        <w:rPr>
          <w:iCs/>
        </w:rPr>
        <w:t>.</w:t>
      </w:r>
    </w:p>
    <w:p w14:paraId="4C8C54DC" w14:textId="0D9EDF3B" w:rsidR="003B5137" w:rsidRDefault="00F07866">
      <w:pPr>
        <w:pStyle w:val="BodyText"/>
      </w:pPr>
      <w:r>
        <w:t xml:space="preserve">As confused as </w:t>
      </w:r>
      <w:r w:rsidR="00054BEF">
        <w:t>parts</w:t>
      </w:r>
      <w:r>
        <w:t xml:space="preserve"> of the recent thought on work may be, it is nevertheless clear that </w:t>
      </w:r>
      <w:r w:rsidR="00E538BA">
        <w:t xml:space="preserve">the subject of work is receiving renewed attention. And with </w:t>
      </w:r>
      <w:r>
        <w:t>the increasing role of automation replacing human physical labor, and now artificial intelligence replacing even some human intellectual labor, the question of what place work holds in the human world is more salient than ever.</w:t>
      </w:r>
    </w:p>
    <w:p w14:paraId="3EA0479A" w14:textId="2C88BAE7" w:rsidR="003B5137" w:rsidRDefault="00000000">
      <w:pPr>
        <w:pStyle w:val="BodyText"/>
      </w:pPr>
      <w:r>
        <w:t xml:space="preserve">How did the Western world’s almost schizophrenic view of work come about? And how did various thinkers defend their positive or negative evaluations of work? This volume was assembled in order to collect in one place some of the thoughts of some of the most significant theorists of work in the Western tradition. Although we have not been able to cover every thinker we wished to – for instance, </w:t>
      </w:r>
      <w:r w:rsidR="00A23D9E">
        <w:t xml:space="preserve">Cicero, </w:t>
      </w:r>
      <w:r>
        <w:t>Augustine, Durkheim, and Veblen all would have had their place in this volume, if it had been possible to solicit essays on them</w:t>
      </w:r>
      <w:r w:rsidR="00E538BA">
        <w:t xml:space="preserve"> (and we tried!)</w:t>
      </w:r>
      <w:r>
        <w:t xml:space="preserve"> – we have been able to cover a significant sampling of the most important thinkers on this topic, beginning 2400 years ago, with the founders of philosophy, who were decidedly in the “pro-leisure” camp.</w:t>
      </w:r>
    </w:p>
    <w:p w14:paraId="25E7A3F5" w14:textId="77777777" w:rsidR="003B5137" w:rsidRDefault="00000000">
      <w:pPr>
        <w:pStyle w:val="Heading2"/>
      </w:pPr>
      <w:bookmarkStart w:id="1" w:name="X6da0de6df3f47db60c5c1d565f8ec865fd1059a"/>
      <w:r>
        <w:t>Plato (427–348 BCE) and Aristotle (384–322 BCE)</w:t>
      </w:r>
      <w:bookmarkEnd w:id="1"/>
    </w:p>
    <w:p w14:paraId="4289ACA5" w14:textId="77777777" w:rsidR="003B5137" w:rsidRDefault="00000000">
      <w:pPr>
        <w:pStyle w:val="FirstParagraph"/>
      </w:pPr>
      <w:r>
        <w:t>James Murphy highlights a fascinating paradox in Plato’s and Aristotle’s evaluation of work: both philosophers praise the virtues of craftsmanship while simultaneously denigrating craftsmen. Murphy notes W.B. Yeats asking, “How can we know the dancer from the dance?” A similar question arises regarding Plato and Aristotle: How do they differentiate between the act of craftsmanship and the craftsmen themselves, and why do they admire the skill while dismissing those who possess it?</w:t>
      </w:r>
    </w:p>
    <w:p w14:paraId="36B10A16" w14:textId="77777777" w:rsidR="003B5137" w:rsidRDefault="00000000">
      <w:pPr>
        <w:pStyle w:val="BodyText"/>
      </w:pPr>
      <w:r>
        <w:t>Neither philosopher considers craftsmen worthy of citizenship. Yet, Plato refers to his ideal rulers as “the best possible craftsmen” and describes ruling as “the royal craft.” They both admire the intellectual knowledge required for skilled work but criticize the manual skill and labor involved. They celebrate those who conceptualize tasks but have little regard for those who execute them. This perspective reflects their broader belief in the superior dignity of intellectual over physical pursuits. As such, their writings are early milestones in the “anti-labor” pole of our dichotomous understanding of work.</w:t>
      </w:r>
    </w:p>
    <w:p w14:paraId="40DCC728" w14:textId="77777777" w:rsidR="003B5137" w:rsidRDefault="00000000">
      <w:pPr>
        <w:pStyle w:val="Heading2"/>
      </w:pPr>
      <w:bookmarkStart w:id="2" w:name="the-new-testament"/>
      <w:r>
        <w:lastRenderedPageBreak/>
        <w:t>The New Testament</w:t>
      </w:r>
      <w:bookmarkEnd w:id="2"/>
    </w:p>
    <w:p w14:paraId="70D12936" w14:textId="77777777" w:rsidR="003B5137" w:rsidRDefault="00000000">
      <w:pPr>
        <w:pStyle w:val="FirstParagraph"/>
      </w:pPr>
      <w:r>
        <w:t>James Alexander contends that the New Testament transformed the view of work in Western thought. Unlike the arduous labor avoided by Hellenic philosophers or the Hebraic notion of divine creation, work in the New Testament is redefined as God’s saving act. In this new context, human labor is seen as secondary to divine work, but still partaking of its essential goodness.</w:t>
      </w:r>
    </w:p>
    <w:p w14:paraId="2326FB19" w14:textId="77777777" w:rsidR="003B5137" w:rsidRDefault="00000000">
      <w:pPr>
        <w:pStyle w:val="BodyText"/>
      </w:pPr>
      <w:r>
        <w:t xml:space="preserve">While the Pauline and Lutheran doctrines distinguish between ‘justification by faith’ and ‘justification by works,’ such a distinction is less clear when considering the full spectrum of work in the New Testament. Various terms for ‘work’ appear: not only </w:t>
      </w:r>
      <w:r>
        <w:rPr>
          <w:i/>
        </w:rPr>
        <w:t>ergon</w:t>
      </w:r>
      <w:r>
        <w:t xml:space="preserve"> (effective act), but also </w:t>
      </w:r>
      <w:r>
        <w:rPr>
          <w:i/>
        </w:rPr>
        <w:t>kopos</w:t>
      </w:r>
      <w:r>
        <w:t xml:space="preserve"> (burdensome act) and </w:t>
      </w:r>
      <w:r>
        <w:rPr>
          <w:i/>
        </w:rPr>
        <w:t>ponos</w:t>
      </w:r>
      <w:r>
        <w:t xml:space="preserve"> (painful act). Additionally, terms like </w:t>
      </w:r>
      <w:r>
        <w:rPr>
          <w:i/>
        </w:rPr>
        <w:t>praxis</w:t>
      </w:r>
      <w:r>
        <w:t xml:space="preserve"> and </w:t>
      </w:r>
      <w:r>
        <w:rPr>
          <w:i/>
        </w:rPr>
        <w:t>poiesis</w:t>
      </w:r>
      <w:r>
        <w:t xml:space="preserve"> (the roots of ‘practice’ and ‘poetry’) and words denoting specific significant acts–such as healings, miracles, signs, and resurrection–illustrate the complexity of the New Testament’s contribution to our understanding of work. Its view embraces both ordinary toil and the divine work of healing and preaching. And it culminates in the salvific work of Jesus’ crucifixion and resurrection. In the end, the New Testament, while not dismissing the genuine value of work, emphasizes trust in God’s work.</w:t>
      </w:r>
    </w:p>
    <w:p w14:paraId="297BB8F0" w14:textId="77777777" w:rsidR="003B5137" w:rsidRDefault="00000000">
      <w:pPr>
        <w:pStyle w:val="Heading2"/>
      </w:pPr>
      <w:bookmarkStart w:id="3" w:name="thomas-aquinas-12251274"/>
      <w:r>
        <w:t>Thomas Aquinas (1225–1274)</w:t>
      </w:r>
      <w:bookmarkEnd w:id="3"/>
    </w:p>
    <w:p w14:paraId="0A729446" w14:textId="77777777" w:rsidR="003B5137" w:rsidRDefault="00000000">
      <w:pPr>
        <w:pStyle w:val="FirstParagraph"/>
      </w:pPr>
      <w:r>
        <w:t xml:space="preserve">As Tamás Nyirkos notes, work was not a primary focus in the writings of Thomas Aquinas. His discussions of the topic emerged in the context of defending those religious orders that no longer engaged in manual labor, something that was controversial during his time. The most frequently cited passage on this topic are from a public disputation question in a </w:t>
      </w:r>
      <w:r>
        <w:rPr>
          <w:i/>
        </w:rPr>
        <w:t>Quodlibet</w:t>
      </w:r>
      <w:r>
        <w:t xml:space="preserve"> (a public disputation question) rather than from a treatise where he selected it for its intrinsic significance. Though his early arguments were further developed in his theological summaries, they consistently involve the question of whether those in religious orders were obligated to perform manual work. Thus, a “Thomistic theory of work” must be pieced together from these dispersed references rather than being given to us as a fully developed doctrine.</w:t>
      </w:r>
    </w:p>
    <w:p w14:paraId="68AF0709" w14:textId="77777777" w:rsidR="003B5137" w:rsidRDefault="00000000">
      <w:pPr>
        <w:pStyle w:val="BodyText"/>
      </w:pPr>
      <w:r>
        <w:t>Despite this, Aquinas remains a significant figure in many modern discussions of work, particularly in economics. Some scholars view him as a precursor to Adam Smith’s ideas on the division of labor or even Karl Marx’s labor theory of value. Others argue that he advocated for a more “humane” economy, critiquing capitalism before its time. Although these interpretations reflect Aquinas’s lasting influence, his primary interest in work was soteriological – how work relates to human salvation – rather than purely social or economic.</w:t>
      </w:r>
    </w:p>
    <w:p w14:paraId="1DADDAA9" w14:textId="77777777" w:rsidR="003B5137" w:rsidRDefault="00000000">
      <w:pPr>
        <w:pStyle w:val="BodyText"/>
      </w:pPr>
      <w:r>
        <w:t>To grasp his perspective, Nyirkos delves into his original texts, armed with an understanding of their terminology and historical context.</w:t>
      </w:r>
    </w:p>
    <w:p w14:paraId="31AA3892" w14:textId="77777777" w:rsidR="003B5137" w:rsidRDefault="00000000">
      <w:pPr>
        <w:pStyle w:val="Heading2"/>
      </w:pPr>
      <w:bookmarkStart w:id="4" w:name="martin-luther-14831546"/>
      <w:r>
        <w:t>Martin Luther (1483–1546)</w:t>
      </w:r>
      <w:bookmarkEnd w:id="4"/>
    </w:p>
    <w:p w14:paraId="6A491533" w14:textId="77777777" w:rsidR="003B5137" w:rsidRDefault="00000000">
      <w:pPr>
        <w:pStyle w:val="FirstParagraph"/>
      </w:pPr>
      <w:r>
        <w:t xml:space="preserve">Orsolya Horváth begins her chapter on Luther with a specific episode in his life: In 1530, Martin Luther delivered a mid-week sermon series in Wittenberg on the Sermon on the Mount, including the Beatitudes. Luther’s interpretation of the sentence “Blessed are the </w:t>
      </w:r>
      <w:r>
        <w:lastRenderedPageBreak/>
        <w:t>pure in heart, for they will see God” (Matthew 5:8). particularly puzzled his audience. Luther’s of just who is “the pure in heart” challenges conventional views, which often associate purity of heart with a life removed from worldly distractions, focusing solely on divine contemplation.</w:t>
      </w:r>
    </w:p>
    <w:p w14:paraId="10BF2F67" w14:textId="77777777" w:rsidR="003B5137" w:rsidRDefault="00000000">
      <w:pPr>
        <w:pStyle w:val="BodyText"/>
      </w:pPr>
      <w:r>
        <w:t>In the 16th century there was a prevalent contrast between the corrupt world of everyday life and the ideal world of pure spirituality. Luther rejects this dichotomy. He argues that a contemplative life, detached from the world, only leads to impurity and ungodliness, as it fosters delusions and fantasies. Instead, Luther posits that true purity of heart is achieved not by withdrawing from the world but by engaging with it. For him, the blacksmith, the cobbler with tar-stained hands, and even the dung-shoveling servant embody the essence of purity. Horváth explores the question of how a dung-shoveling maid can represent the ideal believer in Luther’s view?</w:t>
      </w:r>
    </w:p>
    <w:p w14:paraId="118A4F26" w14:textId="77777777" w:rsidR="003B5137" w:rsidRDefault="00000000">
      <w:pPr>
        <w:pStyle w:val="Heading2"/>
      </w:pPr>
      <w:bookmarkStart w:id="5" w:name="francis-bacon-15611626"/>
      <w:r>
        <w:t>Francis Bacon (1561–1626)</w:t>
      </w:r>
      <w:bookmarkEnd w:id="5"/>
    </w:p>
    <w:p w14:paraId="020B1849" w14:textId="77777777" w:rsidR="003B5137" w:rsidRDefault="00000000">
      <w:pPr>
        <w:pStyle w:val="FirstParagraph"/>
      </w:pPr>
      <w:r>
        <w:t>Tyler Chamberlain notes that in modern thought, nature is often seen as an obstacle to human well-being, a hostile force requiring human subjugation. Francis Bacon was a key figure in forwarding this understanding. His chapter focuses on one crucial influence on Bacon’s understanding of nature’s resistance and how it might be overcome, namely, Bacon’s interpretation of the Judeo-Christian concept of the fall of man, as described in Genesis 3.</w:t>
      </w:r>
    </w:p>
    <w:p w14:paraId="7EAF53D3" w14:textId="77777777" w:rsidR="003B5137" w:rsidRDefault="00000000">
      <w:pPr>
        <w:pStyle w:val="BodyText"/>
      </w:pPr>
      <w:r>
        <w:t>Bacon’s take on the fall posits the central human predicament as the loss of dominion over nature. According to Bacon, this loss necessitates constant labor, as humanity must toil to meet its material needs. The prevailing approach to understanding nature has, in his view, failed to yield practical technological advances. Bacon believed that a more effective method of natural inquiry could potentially restore humanity’s dominion and allow us to achieve the divine rest for which we were originally created. Chamberlain contends that this is Bacon’s vision.</w:t>
      </w:r>
    </w:p>
    <w:p w14:paraId="272FC569" w14:textId="77777777" w:rsidR="003B5137" w:rsidRDefault="00000000">
      <w:pPr>
        <w:pStyle w:val="Heading2"/>
      </w:pPr>
      <w:bookmarkStart w:id="6" w:name="john-locke-16321704"/>
      <w:r>
        <w:t>John Locke (1632–1704)</w:t>
      </w:r>
      <w:bookmarkEnd w:id="6"/>
    </w:p>
    <w:p w14:paraId="6EB50C02" w14:textId="77777777" w:rsidR="003B5137" w:rsidRDefault="00000000">
      <w:pPr>
        <w:pStyle w:val="FirstParagraph"/>
      </w:pPr>
      <w:r>
        <w:t>Jason Ferrell writes that John Locke’s theories on labor and property are well-explored, but they remain provocative. Traditionally, Locke is seen as a natural law theorist who justifies property rights through labor, asserting that labor fulfills a moral duty of self-preservation. Interpretations of Locke’s work generally fall into three categories: one that aligns him with classical liberalism and libertarianism; another that critiques him for justifying exploitative market practices; and a third that dismisses his ideas as outdated. These interpretations often reflect the biases of individual scholars more than Locke’s actual arguments.</w:t>
      </w:r>
    </w:p>
    <w:p w14:paraId="329A91C7" w14:textId="77777777" w:rsidR="003B5137" w:rsidRDefault="00000000">
      <w:pPr>
        <w:pStyle w:val="BodyText"/>
      </w:pPr>
      <w:r>
        <w:t>Despite the familiarity of Locke’s work, Ferrell argues that there are important nuances that repay a fresh look. Its continued relevance is evidenced by the fact that recent scholars, such as Robert Nozick, have turned to Locke for inspiration.</w:t>
      </w:r>
    </w:p>
    <w:p w14:paraId="6ED74C3E" w14:textId="77777777" w:rsidR="003B5137" w:rsidRDefault="00000000">
      <w:pPr>
        <w:pStyle w:val="Heading2"/>
      </w:pPr>
      <w:bookmarkStart w:id="7" w:name="adam-smith-17231790"/>
      <w:r>
        <w:lastRenderedPageBreak/>
        <w:t>Adam Smith (1723–1790)</w:t>
      </w:r>
      <w:bookmarkEnd w:id="7"/>
    </w:p>
    <w:p w14:paraId="5494D544" w14:textId="77777777" w:rsidR="003B5137" w:rsidRDefault="00000000">
      <w:pPr>
        <w:pStyle w:val="FirstParagraph"/>
      </w:pPr>
      <w:r>
        <w:t xml:space="preserve">Adam Smith, a Scottish thinker and professor of Moral Philosophy at the University of Glasgow, is widely regarded as the father of economics, primarily due to his seminal work, </w:t>
      </w:r>
      <w:r>
        <w:rPr>
          <w:i/>
        </w:rPr>
        <w:t>An Inquiry into the Nature and Causes of the Wealth of Nations</w:t>
      </w:r>
      <w:r>
        <w:t>.</w:t>
      </w:r>
    </w:p>
    <w:p w14:paraId="6CC67D86" w14:textId="77777777" w:rsidR="003B5137" w:rsidRDefault="00000000">
      <w:pPr>
        <w:pStyle w:val="BodyText"/>
      </w:pPr>
      <w:r>
        <w:t>Maria Paganelli argues that, while the concept of the “invisible hand” is perhaps Smith’s most famous idea, that of the division of labor is also a key idea closely associated with Smith. According to Paganelli, Smith considered the division of labor essential for creating a prosperous and happy society. Both concepts have been extensively interpreted and sometimes misused, but they remain central to understanding Smith’s economic thought.</w:t>
      </w:r>
    </w:p>
    <w:p w14:paraId="15CA6622" w14:textId="77777777" w:rsidR="003B5137" w:rsidRDefault="00000000">
      <w:pPr>
        <w:pStyle w:val="Heading2"/>
      </w:pPr>
      <w:bookmarkStart w:id="8" w:name="georg-wilhelm-friedrich-hegel-17701831"/>
      <w:r>
        <w:t>Georg Wilhelm Friedrich Hegel (1770–1831)</w:t>
      </w:r>
      <w:bookmarkEnd w:id="8"/>
    </w:p>
    <w:p w14:paraId="10BCE1EC" w14:textId="77777777" w:rsidR="003B5137" w:rsidRDefault="00000000">
      <w:pPr>
        <w:pStyle w:val="FirstParagraph"/>
      </w:pPr>
      <w:r>
        <w:t xml:space="preserve">William Lomabrdo explains that Hegel’s daunting and abstract philosophy often obscures the critical role that labor – engagement with the physical material world – plays in the development of the self-conscious individual and the rational state. Marx, in his </w:t>
      </w:r>
      <w:r>
        <w:rPr>
          <w:i/>
        </w:rPr>
        <w:t>1844 Manuscripts</w:t>
      </w:r>
      <w:r>
        <w:t xml:space="preserve">, recognized this when he noted that Hegel “grasps labor as the essence of man.”. Lombardo’s chapter explores labor’s significant yet frequently overlooked role in Hegelian philosophy by examining two major texts. He first analyzes its foundational role in Hegel’s </w:t>
      </w:r>
      <w:r>
        <w:rPr>
          <w:i/>
        </w:rPr>
        <w:t>Phenomenology of Spirit</w:t>
      </w:r>
      <w:r>
        <w:t xml:space="preserve"> and then explores its place in the </w:t>
      </w:r>
      <w:r>
        <w:rPr>
          <w:i/>
        </w:rPr>
        <w:t>Philosophy of Right</w:t>
      </w:r>
      <w:r>
        <w:t>. His analysis reveals how Hegel portrays labor as both integral to human self-consciousness and as a component embedded in civil society while under threat from market economies.</w:t>
      </w:r>
    </w:p>
    <w:p w14:paraId="3933DDB9" w14:textId="77777777" w:rsidR="003B5137" w:rsidRDefault="00000000">
      <w:pPr>
        <w:pStyle w:val="BodyText"/>
      </w:pPr>
      <w:r>
        <w:t>Lombardo further contends that Hegel’s thoughts on labor are not merely of historical interest, but of contemporary relevancy, especially when contemplating the impact of automation and artificial intelligence on the world of human work.</w:t>
      </w:r>
    </w:p>
    <w:p w14:paraId="15CDC485" w14:textId="77777777" w:rsidR="003B5137" w:rsidRDefault="00000000">
      <w:pPr>
        <w:pStyle w:val="Heading2"/>
      </w:pPr>
      <w:bookmarkStart w:id="9" w:name="søren-kierkegaard-18131855"/>
      <w:r>
        <w:t>Søren Kierkegaard (1813–1855)</w:t>
      </w:r>
      <w:bookmarkEnd w:id="9"/>
    </w:p>
    <w:p w14:paraId="11F8F2A5" w14:textId="77777777" w:rsidR="003B5137" w:rsidRDefault="00000000">
      <w:pPr>
        <w:pStyle w:val="FirstParagraph"/>
      </w:pPr>
      <w:r>
        <w:t>Nathanael Blake’s essay immediately raises the question, “Since Kierkegaard did not write about economics at all, why include material on him in a volume on work?” He answers that, while Kierkegaard’s writings rarely address labor or economics directly, his views on labor are relevant due to his broader insights into the nature of personal vocation. Kierkegaard presents labor not merely as a mundane activity but as a component of one’s spiritual calling. He argues that every individual has a unique vocation and that despite social differences, all individuals stand equal before God in their pursuit of this calling. As such, he comes to us as a voice from the “pro-work” side of our civilizational debate.</w:t>
      </w:r>
    </w:p>
    <w:p w14:paraId="16814CA1" w14:textId="77777777" w:rsidR="003B5137" w:rsidRDefault="00000000">
      <w:pPr>
        <w:pStyle w:val="Heading2"/>
      </w:pPr>
      <w:bookmarkStart w:id="10" w:name="giovanni-gentile-18751944"/>
      <w:r>
        <w:t>Giovanni Gentile (1875–1944)</w:t>
      </w:r>
      <w:bookmarkEnd w:id="10"/>
    </w:p>
    <w:p w14:paraId="7965882A" w14:textId="77777777" w:rsidR="003B5137" w:rsidRDefault="00000000">
      <w:pPr>
        <w:pStyle w:val="FirstParagraph"/>
      </w:pPr>
      <w:r>
        <w:t xml:space="preserve">Spartaco Pupo writes that Giovanni Gentile, a leading Italian philosopher of the twentieth century, developed a “humanism of labor” in his posthumously published work, </w:t>
      </w:r>
      <w:r>
        <w:rPr>
          <w:i/>
        </w:rPr>
        <w:t>Genesis and Structure of Society</w:t>
      </w:r>
      <w:r>
        <w:t xml:space="preserve"> (1946). Gentile believed that the modern understanding of labor as spiritually valuable was correct, and akin to his view of culture. He emphasized the profound connection between intellectual and manual labor and the “Absolute Spirit,” arguing that both types of labor are of crucial significance. Gentile’s thesis highlights the </w:t>
      </w:r>
      <w:r>
        <w:lastRenderedPageBreak/>
        <w:t>importance of the interaction between intellectuals and workers, positing a genuine union of labor and culture within the framework of human values.</w:t>
      </w:r>
    </w:p>
    <w:p w14:paraId="47259EA1" w14:textId="77777777" w:rsidR="003B5137" w:rsidRDefault="00000000">
      <w:pPr>
        <w:pStyle w:val="BodyText"/>
      </w:pPr>
      <w:r>
        <w:t>Pupo further notes that Gentile’s work is unduly neglected in the English-speaking world, due to his fame being eclipsed by his older contemporary Benedetto Croce, and because of an article published in English by his erstwhile follower, Guido De Ruggiero, who accused Gentile of promoting “an abstruse and tiresome theology” full of “false rhetorical emotion.” Gentile argues for renewed attention to Gentile, since his “humanism of labor” shows us a way to break out of our prison of “technism and consumerism.”</w:t>
      </w:r>
    </w:p>
    <w:p w14:paraId="09436B92" w14:textId="77777777" w:rsidR="003B5137" w:rsidRDefault="00000000">
      <w:pPr>
        <w:pStyle w:val="Heading2"/>
      </w:pPr>
      <w:bookmarkStart w:id="11" w:name="max-weber-18641920"/>
      <w:r>
        <w:t>Max Weber (1864–1920)</w:t>
      </w:r>
      <w:bookmarkEnd w:id="11"/>
    </w:p>
    <w:p w14:paraId="7A8274C9" w14:textId="77777777" w:rsidR="003B5137" w:rsidRDefault="00000000">
      <w:pPr>
        <w:pStyle w:val="FirstParagraph"/>
      </w:pPr>
      <w:r>
        <w:t xml:space="preserve">In </w:t>
      </w:r>
      <w:r>
        <w:rPr>
          <w:i/>
        </w:rPr>
        <w:t>The Protestant Ethic and the Spirit of Capitalism</w:t>
      </w:r>
      <w:r>
        <w:t>, Max Weber famously linked the rise of modern capitalism to the “Protestant ethic,” which he argued fostered a new attitude towards work and capital accumulation. Callahan assesses the validity of Weber’s thesis, which has been both influential and controversial. He summarizes key debates surrounding Weber’s argument and explores how critics, as Stephen Kallberg notes, often fail to fully grasp the complexity of Weber’s analysis.</w:t>
      </w:r>
    </w:p>
    <w:p w14:paraId="79C73E6C" w14:textId="77777777" w:rsidR="003B5137" w:rsidRDefault="00000000">
      <w:pPr>
        <w:pStyle w:val="BodyText"/>
      </w:pPr>
      <w:r>
        <w:t>The upshot of this chapter is that, while Weber was wrong or at least insufficiently attentive to historical detail in some aspects of his famous work, his central thesis has certainly not been decisively refuted, and is still worthy of our attention today, as we seek to understand how we arrived at our current situation.</w:t>
      </w:r>
    </w:p>
    <w:p w14:paraId="6BB2BBBA" w14:textId="77777777" w:rsidR="003B5137" w:rsidRDefault="00000000">
      <w:pPr>
        <w:pStyle w:val="Heading2"/>
      </w:pPr>
      <w:bookmarkStart w:id="12" w:name="ludwig-von-mises-18811973"/>
      <w:r>
        <w:t>Ludwig von Mises (1881–1973)</w:t>
      </w:r>
      <w:bookmarkEnd w:id="12"/>
    </w:p>
    <w:p w14:paraId="42D8D092" w14:textId="77777777" w:rsidR="003B5137" w:rsidRDefault="00000000">
      <w:pPr>
        <w:pStyle w:val="FirstParagraph"/>
      </w:pPr>
      <w:r>
        <w:t xml:space="preserve">Gabriel Benzecry and Nicholas Jensen defend the case Ludwig von Mises makes, that laboring inherently involves “disutility.” They claim that the adage “A bad day of fishing is better than a good day at work” reflects a sginificant understanding of the relationship between labor and leisure. This relationship is central to Mises’s analysis in of labor in </w:t>
      </w:r>
      <w:r>
        <w:rPr>
          <w:i/>
        </w:rPr>
        <w:t>Human Action</w:t>
      </w:r>
      <w:r>
        <w:t>. Mises critiques the socialist view (represented by Karl Kautsky), which suggests that socialism could transform the disutility of labor into pleasure. According to Mises, labor is inherently unpleasant because it involves discomfort and the sacrifice of leisure. He asks why people engage in labor despite its inherent disutility, proposing that labor involves delayed gratification: individuals endure the negative aspects of work to enjoy the benefits of leisure later.</w:t>
      </w:r>
    </w:p>
    <w:p w14:paraId="12C65093" w14:textId="77777777" w:rsidR="003B5137" w:rsidRDefault="00000000">
      <w:pPr>
        <w:pStyle w:val="Heading2"/>
      </w:pPr>
      <w:bookmarkStart w:id="13" w:name="edith-stein-18911942"/>
      <w:r>
        <w:t>Edith Stein (1891–1942)</w:t>
      </w:r>
      <w:bookmarkEnd w:id="13"/>
    </w:p>
    <w:p w14:paraId="5D0DE194" w14:textId="77777777" w:rsidR="003B5137" w:rsidRDefault="00000000">
      <w:pPr>
        <w:pStyle w:val="FirstParagraph"/>
      </w:pPr>
      <w:r>
        <w:t xml:space="preserve">Sarah J. Wilford contends that any history of work will be incomplete without an exploration of “women’s work.” To that end, she examines the work of Edith Stein. Stein integrates the concepts of nature, freedom, and grace into her view of work. For Stein, while work is influenced by one’s nature, including gender, it is not solely determined by it. She emphasizes the personal nature of vocation and the role of freedom in choosing one’s path. Stein also explores how grace sanctifies work and supports individuals through their trials and triumphs. Wilford’s chapter first addresses Stein’s views on women’s nature and education, then her ideas on freedom and choice in vocations, and finally, how grace and spiritual practices enhance the experience of work. Wilford demonstrates that Stein offers </w:t>
      </w:r>
      <w:r>
        <w:lastRenderedPageBreak/>
        <w:t xml:space="preserve">us a “middle way” view of women’s work, simultaneously arguing that women may excel at and should not be barred from any profession, while recognizing that the nature of women </w:t>
      </w:r>
      <w:r>
        <w:rPr>
          <w:i/>
        </w:rPr>
        <w:t>qua</w:t>
      </w:r>
      <w:r>
        <w:t xml:space="preserve"> women may incline women on the whole more towards certain roles in society.</w:t>
      </w:r>
    </w:p>
    <w:p w14:paraId="7893E439" w14:textId="77777777" w:rsidR="003B5137" w:rsidRDefault="00000000">
      <w:pPr>
        <w:pStyle w:val="Heading2"/>
      </w:pPr>
      <w:bookmarkStart w:id="14" w:name="michael-oakeshott-19011990"/>
      <w:r>
        <w:t>Michael Oakeshott (1901–1990)</w:t>
      </w:r>
      <w:bookmarkEnd w:id="14"/>
    </w:p>
    <w:p w14:paraId="5CA74967" w14:textId="77777777" w:rsidR="003B5137" w:rsidRDefault="00000000">
      <w:pPr>
        <w:pStyle w:val="FirstParagraph"/>
      </w:pPr>
      <w:r>
        <w:t>John Coats argues that Michael Oakeshott’s concept of “the deadliness of doing” offers a critical perspective on the role of practical activity, and in particular, labor, in human life. Oakeshott suggests that practical activities should not dominate our lives but rather be complemented by philosophical and poetic endeavors. Coats examines Oakeshott’s view on the limited role of practical activity, contrasting it with materialist perspectives like those of Karl Marx.</w:t>
      </w:r>
    </w:p>
    <w:p w14:paraId="18B7E770" w14:textId="77777777" w:rsidR="003B5137" w:rsidRDefault="00000000">
      <w:pPr>
        <w:pStyle w:val="BodyText"/>
      </w:pPr>
      <w:r>
        <w:t>Coats goes on to discuss Oakeshott’s belief that activities done for their own sake, rather than for external benefits, mirror the creative structure of human experience. Coats compares Oakeshott’s views with those of Aristotle and Montaigne. And Coats looks at the role of ritualistic practices in achieving practical outcomes in a less burdensome manner, highlighting how rituals can be performed for their own sake while providing residual practical benefits.</w:t>
      </w:r>
    </w:p>
    <w:p w14:paraId="62366031" w14:textId="77777777" w:rsidR="003B5137" w:rsidRDefault="00000000">
      <w:pPr>
        <w:pStyle w:val="Heading2"/>
      </w:pPr>
      <w:bookmarkStart w:id="15" w:name="josef-pieper-19041997"/>
      <w:r>
        <w:t>Josef Pieper (1904–1997)</w:t>
      </w:r>
      <w:bookmarkEnd w:id="15"/>
    </w:p>
    <w:p w14:paraId="5B1533F5" w14:textId="77777777" w:rsidR="003B5137" w:rsidRDefault="00000000">
      <w:pPr>
        <w:pStyle w:val="FirstParagraph"/>
      </w:pPr>
      <w:r>
        <w:t>Ferenc Hörcher examines Josef Pieper’s concept of leisure (</w:t>
      </w:r>
      <w:r>
        <w:rPr>
          <w:i/>
        </w:rPr>
        <w:t>Musse</w:t>
      </w:r>
      <w:r>
        <w:t>) as a counterpoint to Max Weber’s work ethic. While Weber emphasized the Protestant virtue of diligence, Pieper, from a Catholic perspective, returns to medieval Christian notions of contemplation. Pieper argues that human beings can achieve more than mere existential sustenance through work by periodically withdrawing from the labor world to engage in spiritual and intellectual reflection. This chapter will also critique modern work ideologies and their simplification of existence, aligning with Ortega’s criticism of the “revolt of the masses,” and will explore the positive aspects of leisure, including play and culture.</w:t>
      </w:r>
    </w:p>
    <w:p w14:paraId="57771705" w14:textId="77777777" w:rsidR="003B5137" w:rsidRDefault="00000000">
      <w:pPr>
        <w:pStyle w:val="Heading2"/>
      </w:pPr>
      <w:bookmarkStart w:id="16" w:name="hannah-arendt-19061975"/>
      <w:r>
        <w:t>Hannah Arendt (1906–1975)</w:t>
      </w:r>
      <w:bookmarkEnd w:id="16"/>
    </w:p>
    <w:p w14:paraId="0EBAEC91" w14:textId="77777777" w:rsidR="003B5137" w:rsidRDefault="00000000">
      <w:pPr>
        <w:pStyle w:val="FirstParagraph"/>
      </w:pPr>
      <w:r>
        <w:t xml:space="preserve">In this chapter, Josefina Araos Bralic and Sarah Wilford take up the work of the the profound twentieth-century thinker, Hannah Arendt. They show how Arendt examined the human condition through the lens of work and activity. Arendt’s writings, notably </w:t>
      </w:r>
      <w:r>
        <w:rPr>
          <w:i/>
        </w:rPr>
        <w:t>The Human Condition</w:t>
      </w:r>
      <w:r>
        <w:t>, distinguish between labor, work, and action, offering a framework for understanding these facets of human life. Since Arendt’s differentiation of these three types of human activity is novel, Bralic and Wilford explain why Arendt undertakes this division.</w:t>
      </w:r>
    </w:p>
    <w:p w14:paraId="341230AC" w14:textId="77777777" w:rsidR="003B5137" w:rsidRDefault="00000000">
      <w:pPr>
        <w:pStyle w:val="BodyText"/>
      </w:pPr>
      <w:r>
        <w:t>These days, scholars and pundits look to Arendt to reckon with various socio-political ills, such as “the decline of liberal democracy, the spread of fake news, the rise of the social sphere, the triumph of technology, the loss of the private realm and the experience of mass loneliness.”</w:t>
      </w:r>
    </w:p>
    <w:p w14:paraId="38E20097" w14:textId="77777777" w:rsidR="003B5137" w:rsidRDefault="00000000">
      <w:pPr>
        <w:pStyle w:val="BodyText"/>
      </w:pPr>
      <w:r>
        <w:t>They also address critiques of Arendt’s work, particularly from feminist and democratic theorists.</w:t>
      </w:r>
    </w:p>
    <w:p w14:paraId="513D6CFB" w14:textId="77777777" w:rsidR="003B5137" w:rsidRDefault="00000000">
      <w:pPr>
        <w:pStyle w:val="Heading2"/>
      </w:pPr>
      <w:bookmarkStart w:id="17" w:name="alasdair-macintyre-1929"/>
      <w:r>
        <w:lastRenderedPageBreak/>
        <w:t>Alasdair MacIntyre (1929–)</w:t>
      </w:r>
      <w:bookmarkEnd w:id="17"/>
    </w:p>
    <w:p w14:paraId="3C8AC801" w14:textId="77777777" w:rsidR="003B5137" w:rsidRDefault="00000000">
      <w:pPr>
        <w:pStyle w:val="FirstParagraph"/>
      </w:pPr>
      <w:r>
        <w:t xml:space="preserve">Matias Petersen claims that Alasdair MacIntyre’s moral philosophy, particularly his concepts of practices and practical rationality, is relevant to discussions of work. Introduced in </w:t>
      </w:r>
      <w:r>
        <w:rPr>
          <w:i/>
        </w:rPr>
        <w:t>After Virtue</w:t>
      </w:r>
      <w:r>
        <w:t xml:space="preserve"> and further developed in </w:t>
      </w:r>
      <w:r>
        <w:rPr>
          <w:i/>
        </w:rPr>
        <w:t>Dependent Rational Animals</w:t>
      </w:r>
      <w:r>
        <w:t>, MacIntyre defines practices as cooperative activities with inherent goods and standards. He explores how practices help individuals develop virtues and practical reasoning by distinguishing between immediate and long-term goods. MacIntyre further demonstrates that all work has inherent implications for other areas of life, including the political. For example, work that demands workers put in 70 or 80 hours a week (like many entry-level investment banking jobs, for instance) will obviously have a disastrous impact on family formation.</w:t>
      </w:r>
    </w:p>
    <w:p w14:paraId="33279AA4" w14:textId="77777777" w:rsidR="003B5137" w:rsidRDefault="00000000">
      <w:pPr>
        <w:pStyle w:val="BodyText"/>
      </w:pPr>
      <w:r>
        <w:t>MacIntyre demonstrates that our work can be an aid or a hindrance in the development of our practical reasoning. Furthermore, our current politics and social science, focusing as they do on the satisfaction of existing preferences (without asking where those preferences came from) tend to create work environments hostile to excellence, focused only on short-term profits and substituting wage growth for healthy workplaces.</w:t>
      </w:r>
    </w:p>
    <w:p w14:paraId="11645BF9" w14:textId="77777777" w:rsidR="003B5137" w:rsidRDefault="00000000">
      <w:pPr>
        <w:pStyle w:val="Heading2"/>
      </w:pPr>
      <w:bookmarkStart w:id="18" w:name="new-natural-law-theory"/>
      <w:r>
        <w:t>New Natural Law Theory</w:t>
      </w:r>
      <w:bookmarkEnd w:id="18"/>
    </w:p>
    <w:p w14:paraId="5229237E" w14:textId="77777777" w:rsidR="003B5137" w:rsidRDefault="00000000">
      <w:pPr>
        <w:pStyle w:val="FirstParagraph"/>
      </w:pPr>
      <w:r>
        <w:t>Christopher Tollefsen explains that the New Natural Law Theory (NNLT), advanced by philosophers like Germain Grisez, John Finnis, and Joseph Boyle, reinterprets the principles of natural law based on practical reason rather than human nature. These principles drawn from practical reason identify a number of basic human goods that should be pursued. The NNLT concept of “morality” is that one should pursue these goods in a reasonable manner.</w:t>
      </w:r>
    </w:p>
    <w:p w14:paraId="0F436FEB" w14:textId="77777777" w:rsidR="003B5137" w:rsidRDefault="00000000">
      <w:pPr>
        <w:pStyle w:val="BodyText"/>
      </w:pPr>
      <w:r>
        <w:t>Tollefsen’s chapter outlines NNLT’s account of the role of work as a fundamental good and its implications for practical reasoning and moral action. It will also situate NNLT’s perspective within a broader theological context, concluding our ability to work is a sign of our creation in the image of God, and forms the basis of our other rights and duties.</w:t>
      </w:r>
    </w:p>
    <w:p w14:paraId="2929475D" w14:textId="77777777" w:rsidR="003B5137" w:rsidRDefault="00000000">
      <w:pPr>
        <w:pStyle w:val="Heading2"/>
      </w:pPr>
      <w:bookmarkStart w:id="19" w:name="raymond-geuss-1946"/>
      <w:r>
        <w:t>Raymond Geuss (1946–)</w:t>
      </w:r>
      <w:bookmarkEnd w:id="19"/>
    </w:p>
    <w:p w14:paraId="2FA38F15" w14:textId="77777777" w:rsidR="003B5137" w:rsidRDefault="00000000">
      <w:pPr>
        <w:pStyle w:val="FirstParagraph"/>
      </w:pPr>
      <w:r>
        <w:t xml:space="preserve">Gülşen Seven’s chapter utilizes Raymond Geuss’s </w:t>
      </w:r>
      <w:r>
        <w:rPr>
          <w:i/>
        </w:rPr>
        <w:t>A Philosopher Looks at Work</w:t>
      </w:r>
      <w:r>
        <w:t xml:space="preserve"> to explore contemporary issues and research directions in the philosophy of work. It will examine traditional conceptions of work, including its definition, organization, and societal value, and address anomalies and ideological features. Her chapter also engages with recent works by David Graeber and Axel Honneth, contrasting their views with Geuss’s.</w:t>
      </w:r>
    </w:p>
    <w:p w14:paraId="30B4D95E" w14:textId="77777777" w:rsidR="003B5137" w:rsidRDefault="00000000">
      <w:pPr>
        <w:pStyle w:val="BodyText"/>
      </w:pPr>
      <w:r>
        <w:t>Seven sums up Geuss as concluding “that for the sake of preserving a habitable environment and continuing to live (at all or perhaps comfortably) in conditions of permanent unemployment, we need to produce and consume less, and, in the absence of work as we know it, discover ‘new’ ways of remaining meaningfully active.”</w:t>
      </w:r>
    </w:p>
    <w:sectPr w:rsidR="003B513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0086" w14:textId="77777777" w:rsidR="00B34B6A" w:rsidRDefault="00B34B6A">
      <w:pPr>
        <w:spacing w:after="0"/>
      </w:pPr>
      <w:r>
        <w:separator/>
      </w:r>
    </w:p>
  </w:endnote>
  <w:endnote w:type="continuationSeparator" w:id="0">
    <w:p w14:paraId="7434D2A0" w14:textId="77777777" w:rsidR="00B34B6A" w:rsidRDefault="00B34B6A">
      <w:pPr>
        <w:spacing w:after="0"/>
      </w:pPr>
      <w:r>
        <w:continuationSeparator/>
      </w:r>
    </w:p>
  </w:endnote>
  <w:endnote w:id="1">
    <w:p w14:paraId="7E29FF8C" w14:textId="09C7F5D7" w:rsidR="00235FBB" w:rsidRPr="00235FBB" w:rsidRDefault="00235FBB">
      <w:pPr>
        <w:pStyle w:val="EndnoteText"/>
        <w:rPr>
          <w:rStyle w:val="EndnoteReference"/>
          <w:vertAlign w:val="baseline"/>
        </w:rPr>
      </w:pPr>
      <w:r>
        <w:rPr>
          <w:rStyle w:val="EndnoteReference"/>
        </w:rPr>
        <w:endnoteRef/>
      </w:r>
      <w:r>
        <w:t xml:space="preserve"> </w:t>
      </w:r>
      <w:r w:rsidRPr="00235FBB">
        <w:rPr>
          <w:rStyle w:val="EndnoteReference"/>
        </w:rPr>
        <w:t xml:space="preserve">Karl </w:t>
      </w:r>
      <w:proofErr w:type="spellStart"/>
      <w:r w:rsidRPr="00235FBB">
        <w:rPr>
          <w:rStyle w:val="EndnoteReference"/>
        </w:rPr>
        <w:t>L</w:t>
      </w:r>
      <w:r w:rsidRPr="00235FBB">
        <w:rPr>
          <w:vertAlign w:val="superscript"/>
        </w:rPr>
        <w:t>ö</w:t>
      </w:r>
      <w:r w:rsidRPr="00235FBB">
        <w:rPr>
          <w:rStyle w:val="EndnoteReference"/>
        </w:rPr>
        <w:t>with</w:t>
      </w:r>
      <w:proofErr w:type="spellEnd"/>
      <w:r w:rsidRPr="00235FBB">
        <w:rPr>
          <w:rStyle w:val="EndnoteReference"/>
        </w:rPr>
        <w:t>, From Hegel To Nietzsche: The Revolution in Nineteenth-Century Thought (New York: Columbia University Press, 1964).</w:t>
      </w:r>
    </w:p>
  </w:endnote>
  <w:endnote w:id="2">
    <w:p w14:paraId="6A8D35E7" w14:textId="258C7419" w:rsidR="00E538BA" w:rsidRPr="00C93A69" w:rsidRDefault="00E538BA" w:rsidP="00A23D9E">
      <w:pPr>
        <w:pStyle w:val="FootnoteText"/>
        <w:rPr>
          <w:rStyle w:val="EndnoteReference"/>
        </w:rPr>
      </w:pPr>
      <w:r w:rsidRPr="00C93A69">
        <w:rPr>
          <w:rStyle w:val="EndnoteReference"/>
        </w:rPr>
        <w:endnoteRef/>
      </w:r>
      <w:r w:rsidRPr="00C93A69">
        <w:rPr>
          <w:rStyle w:val="EndnoteReference"/>
        </w:rPr>
        <w:t xml:space="preserve"> Josef Ehmer and Catharina Lis, eds. The Idea of Work in Europe from Antiquity to Modern Times (London: Routledge, 2016).</w:t>
      </w:r>
    </w:p>
  </w:endnote>
  <w:endnote w:id="3">
    <w:p w14:paraId="1FF801E6" w14:textId="7F08CB4F" w:rsidR="00A23D9E" w:rsidRPr="00C93A69" w:rsidRDefault="00A23D9E" w:rsidP="00A23D9E">
      <w:pPr>
        <w:pStyle w:val="FootnoteText"/>
        <w:rPr>
          <w:rStyle w:val="EndnoteReference"/>
        </w:rPr>
      </w:pPr>
      <w:r w:rsidRPr="00C93A69">
        <w:rPr>
          <w:rStyle w:val="EndnoteReference"/>
        </w:rPr>
        <w:endnoteRef/>
      </w:r>
      <w:r w:rsidRPr="00C93A69">
        <w:rPr>
          <w:rStyle w:val="EndnoteReference"/>
        </w:rPr>
        <w:t xml:space="preserve"> Catharina Lis and Hugo </w:t>
      </w:r>
      <w:proofErr w:type="spellStart"/>
      <w:r w:rsidRPr="00C93A69">
        <w:rPr>
          <w:rStyle w:val="EndnoteReference"/>
        </w:rPr>
        <w:t>Soly</w:t>
      </w:r>
      <w:proofErr w:type="spellEnd"/>
      <w:r w:rsidRPr="00C93A69">
        <w:rPr>
          <w:rStyle w:val="EndnoteReference"/>
        </w:rPr>
        <w:t>, Worthy Efforts : Attitudes to Work and Workers in Pre-Industrial Europe (Boston: Brill, 2012).</w:t>
      </w:r>
    </w:p>
  </w:endnote>
  <w:endnote w:id="4">
    <w:p w14:paraId="2F2BA16E" w14:textId="240E9D12"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Raymond </w:t>
      </w:r>
      <w:proofErr w:type="spellStart"/>
      <w:r w:rsidRPr="00C93A69">
        <w:rPr>
          <w:rStyle w:val="EndnoteReference"/>
        </w:rPr>
        <w:t>Geuss</w:t>
      </w:r>
      <w:proofErr w:type="spellEnd"/>
      <w:r w:rsidRPr="00C93A69">
        <w:rPr>
          <w:rStyle w:val="EndnoteReference"/>
        </w:rPr>
        <w:t>, A Philosopher Looks at Work (Cambridge: Cambridge University Press, 2021).</w:t>
      </w:r>
    </w:p>
  </w:endnote>
  <w:endnote w:id="5">
    <w:p w14:paraId="1239A559" w14:textId="5FAC7B00"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David Graeber, Bullshit Jobs: A Theory (London: Simon &amp; Schuster, 2018).</w:t>
      </w:r>
    </w:p>
  </w:endnote>
  <w:endnote w:id="6">
    <w:p w14:paraId="56FC49B5" w14:textId="76F7A96E"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Jan Lucassen, The Story of Work (New Haven and London: Yale University Press, 2021).</w:t>
      </w:r>
    </w:p>
  </w:endnote>
  <w:endnote w:id="7">
    <w:p w14:paraId="0ADAF5A8" w14:textId="03F8433B" w:rsidR="008578E1" w:rsidRPr="00C93A69" w:rsidRDefault="008578E1" w:rsidP="00A23D9E">
      <w:pPr>
        <w:pStyle w:val="FootnoteText"/>
        <w:rPr>
          <w:rStyle w:val="EndnoteReference"/>
        </w:rPr>
      </w:pPr>
      <w:r w:rsidRPr="00C93A69">
        <w:rPr>
          <w:rStyle w:val="EndnoteReference"/>
        </w:rPr>
        <w:endnoteRef/>
      </w:r>
      <w:r w:rsidRPr="00C93A69">
        <w:rPr>
          <w:rStyle w:val="EndnoteReference"/>
        </w:rPr>
        <w:t xml:space="preserve"> Elizabeth Anderson, Hijacked: How Neoliberalism Turned the Work Ethic Against Workers</w:t>
      </w:r>
      <w:r w:rsidR="003D6245" w:rsidRPr="00C93A69">
        <w:rPr>
          <w:rStyle w:val="EndnoteReference"/>
        </w:rPr>
        <w:t xml:space="preserve"> and How Workers Can Take It Back (Cambridge: Cambridge University Press, 2023).</w:t>
      </w:r>
    </w:p>
  </w:endnote>
  <w:endnote w:id="8">
    <w:p w14:paraId="1F106146" w14:textId="162BD986" w:rsidR="00B96F78" w:rsidRPr="00C93A69" w:rsidRDefault="00B96F78" w:rsidP="00A23D9E">
      <w:pPr>
        <w:pStyle w:val="FootnoteText"/>
        <w:rPr>
          <w:rStyle w:val="EndnoteReference"/>
        </w:rPr>
      </w:pPr>
      <w:r w:rsidRPr="00C93A69">
        <w:rPr>
          <w:rStyle w:val="EndnoteReference"/>
        </w:rPr>
        <w:endnoteRef/>
      </w:r>
      <w:r w:rsidRPr="00C93A69">
        <w:rPr>
          <w:rStyle w:val="EndnoteReference"/>
        </w:rPr>
        <w:t xml:space="preserve"> James </w:t>
      </w:r>
      <w:proofErr w:type="spellStart"/>
      <w:r w:rsidRPr="00C93A69">
        <w:rPr>
          <w:rStyle w:val="EndnoteReference"/>
        </w:rPr>
        <w:t>Suzman</w:t>
      </w:r>
      <w:proofErr w:type="spellEnd"/>
      <w:r w:rsidRPr="00C93A69">
        <w:rPr>
          <w:rStyle w:val="EndnoteReference"/>
        </w:rPr>
        <w:t>, Work: A Deep History, from the Stone Age to the Age of Robots (New York: Penguin Press, 2021).</w:t>
      </w:r>
    </w:p>
  </w:endnote>
  <w:endnote w:id="9">
    <w:p w14:paraId="36C1D9A5" w14:textId="6F95401D" w:rsidR="00E82E11" w:rsidRPr="00C93A69" w:rsidRDefault="00E82E11" w:rsidP="00A23D9E">
      <w:pPr>
        <w:pStyle w:val="FootnoteText"/>
        <w:rPr>
          <w:rStyle w:val="EndnoteReference"/>
        </w:rPr>
      </w:pPr>
      <w:r w:rsidRPr="00C93A69">
        <w:rPr>
          <w:rStyle w:val="EndnoteReference"/>
        </w:rPr>
        <w:endnoteRef/>
      </w:r>
      <w:r w:rsidRPr="00C93A69">
        <w:rPr>
          <w:rStyle w:val="EndnoteReference"/>
        </w:rPr>
        <w:t xml:space="preserve"> Anderson, p. xiii.</w:t>
      </w:r>
    </w:p>
  </w:endnote>
  <w:endnote w:id="10">
    <w:p w14:paraId="061ECDFE" w14:textId="20EE6E0F" w:rsidR="00C26D40" w:rsidRPr="00C93A69" w:rsidRDefault="00C26D40" w:rsidP="00A23D9E">
      <w:pPr>
        <w:pStyle w:val="FootnoteText"/>
        <w:rPr>
          <w:rStyle w:val="EndnoteReference"/>
        </w:rPr>
      </w:pPr>
      <w:r w:rsidRPr="00C93A69">
        <w:rPr>
          <w:rStyle w:val="EndnoteReference"/>
        </w:rPr>
        <w:endnoteRef/>
      </w:r>
      <w:r w:rsidRPr="00C93A69">
        <w:rPr>
          <w:rStyle w:val="EndnoteReference"/>
        </w:rPr>
        <w:t xml:space="preserve"> Anderson, p. xii.</w:t>
      </w:r>
    </w:p>
  </w:endnote>
  <w:endnote w:id="11">
    <w:p w14:paraId="5FCC49A8" w14:textId="1900E7A3" w:rsidR="00076A51" w:rsidRPr="00C93A69" w:rsidRDefault="00076A51" w:rsidP="00A23D9E">
      <w:pPr>
        <w:pStyle w:val="FootnoteText"/>
        <w:rPr>
          <w:rStyle w:val="EndnoteReference"/>
        </w:rPr>
      </w:pPr>
      <w:r w:rsidRPr="00C93A69">
        <w:rPr>
          <w:rStyle w:val="EndnoteReference"/>
        </w:rPr>
        <w:endnoteRef/>
      </w:r>
      <w:r w:rsidRPr="00C93A69">
        <w:rPr>
          <w:rStyle w:val="EndnoteReference"/>
        </w:rPr>
        <w:t xml:space="preserve"> David Graeber, “On the Phenomenon of Bullshit Jobs: A Work Rant” </w:t>
      </w:r>
      <w:r w:rsidR="003D6245" w:rsidRPr="00C93A69">
        <w:rPr>
          <w:rStyle w:val="EndnoteReference"/>
        </w:rPr>
        <w:t>(</w:t>
      </w:r>
      <w:r w:rsidRPr="00C93A69">
        <w:rPr>
          <w:rStyle w:val="EndnoteReference"/>
        </w:rPr>
        <w:t xml:space="preserve">Strike! Magazine, 2013, </w:t>
      </w:r>
      <w:hyperlink r:id="rId1" w:history="1">
        <w:r w:rsidRPr="00C93A69">
          <w:rPr>
            <w:rStyle w:val="EndnoteReference"/>
          </w:rPr>
          <w:t>https://strikemag.org/bullshit-jobs/</w:t>
        </w:r>
      </w:hyperlink>
      <w:r w:rsidR="003D6245" w:rsidRPr="00C93A69">
        <w:rPr>
          <w:rStyle w:val="EndnoteReference"/>
        </w:rPr>
        <w:t>).</w:t>
      </w:r>
    </w:p>
  </w:endnote>
  <w:endnote w:id="12">
    <w:p w14:paraId="7591EC2F" w14:textId="0A9F5D91" w:rsidR="00FD54E8" w:rsidRPr="00C93A69" w:rsidRDefault="00FD54E8">
      <w:pPr>
        <w:pStyle w:val="EndnoteText"/>
        <w:rPr>
          <w:rStyle w:val="EndnoteReference"/>
        </w:rPr>
      </w:pPr>
      <w:r w:rsidRPr="00C93A69">
        <w:rPr>
          <w:rStyle w:val="EndnoteReference"/>
        </w:rPr>
        <w:endnoteRef/>
      </w:r>
      <w:r w:rsidRPr="00C93A69">
        <w:rPr>
          <w:rStyle w:val="EndnoteReference"/>
        </w:rPr>
        <w:t xml:space="preserve"> </w:t>
      </w:r>
      <w:proofErr w:type="spellStart"/>
      <w:r w:rsidRPr="00C93A69">
        <w:rPr>
          <w:rStyle w:val="EndnoteReference"/>
        </w:rPr>
        <w:t>Suzman</w:t>
      </w:r>
      <w:proofErr w:type="spellEnd"/>
      <w:r w:rsidRPr="00C93A69">
        <w:rPr>
          <w:rStyle w:val="EndnoteReference"/>
        </w:rPr>
        <w:t>, p. 109.</w:t>
      </w:r>
    </w:p>
  </w:endnote>
  <w:endnote w:id="13">
    <w:p w14:paraId="07E0A6A7" w14:textId="08289B2B" w:rsidR="00FD54E8" w:rsidRPr="00C93A69" w:rsidRDefault="00FD54E8">
      <w:pPr>
        <w:pStyle w:val="EndnoteText"/>
        <w:rPr>
          <w:rStyle w:val="EndnoteReference"/>
        </w:rPr>
      </w:pPr>
      <w:r w:rsidRPr="00C93A69">
        <w:rPr>
          <w:rStyle w:val="EndnoteReference"/>
        </w:rPr>
        <w:endnoteRef/>
      </w:r>
      <w:r w:rsidRPr="00C93A69">
        <w:rPr>
          <w:rStyle w:val="EndnoteReference"/>
        </w:rPr>
        <w:t xml:space="preserve"> </w:t>
      </w:r>
      <w:proofErr w:type="spellStart"/>
      <w:r w:rsidRPr="00C93A69">
        <w:rPr>
          <w:rStyle w:val="EndnoteReference"/>
        </w:rPr>
        <w:t>Suzman</w:t>
      </w:r>
      <w:proofErr w:type="spellEnd"/>
      <w:r w:rsidRPr="00C93A69">
        <w:rPr>
          <w:rStyle w:val="EndnoteReference"/>
        </w:rPr>
        <w:t>, p. 208.</w:t>
      </w:r>
    </w:p>
  </w:endnote>
  <w:endnote w:id="14">
    <w:p w14:paraId="073E32E5" w14:textId="5742ABFC"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180.</w:t>
      </w:r>
    </w:p>
  </w:endnote>
  <w:endnote w:id="15">
    <w:p w14:paraId="6A71A68E" w14:textId="77777777" w:rsidR="00FD54E8" w:rsidRPr="00C93A69" w:rsidRDefault="00FD54E8" w:rsidP="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161.</w:t>
      </w:r>
    </w:p>
  </w:endnote>
  <w:endnote w:id="16">
    <w:p w14:paraId="5370C201" w14:textId="396183EA"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Su</w:t>
      </w:r>
      <w:proofErr w:type="spellStart"/>
      <w:r w:rsidRPr="00C93A69">
        <w:rPr>
          <w:rStyle w:val="EndnoteReference"/>
        </w:rPr>
        <w:t>zman</w:t>
      </w:r>
      <w:proofErr w:type="spellEnd"/>
      <w:r w:rsidRPr="00C93A69">
        <w:rPr>
          <w:rStyle w:val="EndnoteReference"/>
        </w:rPr>
        <w:t>, p. 156.</w:t>
      </w:r>
    </w:p>
  </w:endnote>
  <w:endnote w:id="17">
    <w:p w14:paraId="2E9BD6B1" w14:textId="7DF35AF3" w:rsidR="00FD54E8" w:rsidRPr="00C93A69" w:rsidRDefault="00FD54E8">
      <w:pPr>
        <w:pStyle w:val="EndnoteText"/>
        <w:rPr>
          <w:rStyle w:val="EndnoteReference"/>
          <w:lang w:val="es-ES_tradnl"/>
        </w:rPr>
      </w:pPr>
      <w:r w:rsidRPr="00C93A69">
        <w:rPr>
          <w:rStyle w:val="EndnoteReference"/>
        </w:rPr>
        <w:endnoteRef/>
      </w:r>
      <w:r w:rsidRPr="00C93A69">
        <w:rPr>
          <w:rStyle w:val="EndnoteReference"/>
          <w:lang w:val="es-ES_tradnl"/>
        </w:rPr>
        <w:t xml:space="preserve"> </w:t>
      </w:r>
      <w:proofErr w:type="spellStart"/>
      <w:r w:rsidRPr="00C93A69">
        <w:rPr>
          <w:rStyle w:val="EndnoteReference"/>
          <w:lang w:val="es-ES_tradnl"/>
        </w:rPr>
        <w:t>Suzman</w:t>
      </w:r>
      <w:proofErr w:type="spellEnd"/>
      <w:r w:rsidRPr="00C93A69">
        <w:rPr>
          <w:rStyle w:val="EndnoteReference"/>
          <w:lang w:val="es-ES_tradnl"/>
        </w:rPr>
        <w:t>, p. 301.</w:t>
      </w:r>
    </w:p>
  </w:endnote>
  <w:endnote w:id="18">
    <w:p w14:paraId="230AFA00" w14:textId="62970623" w:rsidR="00C93A69" w:rsidRPr="00C93A69" w:rsidRDefault="00C93A69">
      <w:pPr>
        <w:pStyle w:val="EndnoteText"/>
        <w:rPr>
          <w:rStyle w:val="EndnoteReference"/>
          <w:lang w:val="es-ES_tradnl"/>
        </w:rPr>
      </w:pPr>
      <w:r w:rsidRPr="00C93A69">
        <w:rPr>
          <w:rStyle w:val="EndnoteReference"/>
        </w:rPr>
        <w:endnoteRef/>
      </w:r>
      <w:r w:rsidRPr="00C93A69">
        <w:rPr>
          <w:rStyle w:val="EndnoteReference"/>
          <w:lang w:val="es-ES_tradnl"/>
        </w:rPr>
        <w:t xml:space="preserve"> Su</w:t>
      </w:r>
      <w:proofErr w:type="spellStart"/>
      <w:r w:rsidRPr="00C93A69">
        <w:rPr>
          <w:rStyle w:val="EndnoteReference"/>
        </w:rPr>
        <w:t>zman</w:t>
      </w:r>
      <w:proofErr w:type="spellEnd"/>
      <w:r w:rsidRPr="00C93A69">
        <w:rPr>
          <w:rStyle w:val="EndnoteReference"/>
        </w:rPr>
        <w:t>, p. 302.</w:t>
      </w:r>
    </w:p>
  </w:endnote>
  <w:endnote w:id="19">
    <w:p w14:paraId="350EB524" w14:textId="046A6F0B" w:rsidR="00BE6D05" w:rsidRPr="00BE6D05" w:rsidRDefault="00BE6D05">
      <w:pPr>
        <w:pStyle w:val="EndnoteText"/>
        <w:rPr>
          <w:rStyle w:val="EndnoteReference"/>
        </w:rPr>
      </w:pPr>
      <w:r w:rsidRPr="00BE6D05">
        <w:rPr>
          <w:rStyle w:val="EndnoteReference"/>
        </w:rPr>
        <w:endnoteRef/>
      </w:r>
      <w:r w:rsidRPr="00BE6D05">
        <w:rPr>
          <w:rStyle w:val="EndnoteReference"/>
        </w:rPr>
        <w:t xml:space="preserve"> Lucassen, xv.</w:t>
      </w:r>
    </w:p>
  </w:endnote>
  <w:endnote w:id="20">
    <w:p w14:paraId="44CF5095" w14:textId="4E455953" w:rsidR="007266FF" w:rsidRDefault="007266FF">
      <w:pPr>
        <w:pStyle w:val="EndnoteText"/>
      </w:pPr>
      <w:r>
        <w:rPr>
          <w:rStyle w:val="EndnoteReference"/>
        </w:rPr>
        <w:endnoteRef/>
      </w:r>
      <w:r>
        <w:t xml:space="preserve"> Lucassen, p. 12.</w:t>
      </w:r>
    </w:p>
  </w:endnote>
  <w:endnote w:id="21">
    <w:p w14:paraId="7B9B7610" w14:textId="7F1A6C68" w:rsidR="007266FF" w:rsidRDefault="007266FF">
      <w:pPr>
        <w:pStyle w:val="EndnoteText"/>
      </w:pPr>
      <w:r>
        <w:rPr>
          <w:rStyle w:val="EndnoteReference"/>
        </w:rPr>
        <w:endnoteRef/>
      </w:r>
      <w:r>
        <w:t xml:space="preserve"> Lucassen, p. 74.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845AC" w14:textId="77777777" w:rsidR="00B34B6A" w:rsidRDefault="00B34B6A">
      <w:r>
        <w:separator/>
      </w:r>
    </w:p>
  </w:footnote>
  <w:footnote w:type="continuationSeparator" w:id="0">
    <w:p w14:paraId="44ACC099" w14:textId="77777777" w:rsidR="00B34B6A" w:rsidRDefault="00B34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C7E94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24EB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74736121">
    <w:abstractNumId w:val="1"/>
  </w:num>
  <w:num w:numId="2" w16cid:durableId="369577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BEF"/>
    <w:rsid w:val="00076A51"/>
    <w:rsid w:val="0008372F"/>
    <w:rsid w:val="00235FBB"/>
    <w:rsid w:val="002565A8"/>
    <w:rsid w:val="0027746E"/>
    <w:rsid w:val="003018CE"/>
    <w:rsid w:val="003B5137"/>
    <w:rsid w:val="003D6245"/>
    <w:rsid w:val="00431CAA"/>
    <w:rsid w:val="00440C86"/>
    <w:rsid w:val="004E29B3"/>
    <w:rsid w:val="00590D07"/>
    <w:rsid w:val="007266FF"/>
    <w:rsid w:val="00784D58"/>
    <w:rsid w:val="007948FB"/>
    <w:rsid w:val="008578E1"/>
    <w:rsid w:val="008D6863"/>
    <w:rsid w:val="0090018E"/>
    <w:rsid w:val="00A23D9E"/>
    <w:rsid w:val="00B34B6A"/>
    <w:rsid w:val="00B56935"/>
    <w:rsid w:val="00B86B75"/>
    <w:rsid w:val="00B96F78"/>
    <w:rsid w:val="00BB2622"/>
    <w:rsid w:val="00BC48D5"/>
    <w:rsid w:val="00BE6D05"/>
    <w:rsid w:val="00C26D40"/>
    <w:rsid w:val="00C36279"/>
    <w:rsid w:val="00C93A69"/>
    <w:rsid w:val="00DD2808"/>
    <w:rsid w:val="00E315A3"/>
    <w:rsid w:val="00E538BA"/>
    <w:rsid w:val="00E82E11"/>
    <w:rsid w:val="00F07866"/>
    <w:rsid w:val="00FD54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02AE2"/>
  <w15:docId w15:val="{EE877981-6FF6-A74B-A261-83E480AE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BE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E538BA"/>
    <w:pPr>
      <w:spacing w:after="0"/>
    </w:pPr>
    <w:rPr>
      <w:rFonts w:cs="Times New Roman (Body CS)"/>
      <w:szCs w:val="20"/>
    </w:rPr>
  </w:style>
  <w:style w:type="character" w:customStyle="1" w:styleId="EndnoteTextChar">
    <w:name w:val="Endnote Text Char"/>
    <w:basedOn w:val="DefaultParagraphFont"/>
    <w:link w:val="EndnoteText"/>
    <w:rsid w:val="00E538BA"/>
    <w:rPr>
      <w:rFonts w:cs="Times New Roman (Body CS)"/>
      <w:szCs w:val="20"/>
    </w:rPr>
  </w:style>
  <w:style w:type="character" w:styleId="EndnoteReference">
    <w:name w:val="endnote reference"/>
    <w:basedOn w:val="DefaultParagraphFont"/>
    <w:rsid w:val="00B56935"/>
    <w:rPr>
      <w:rFonts w:asciiTheme="minorHAnsi" w:hAnsiTheme="minorHAnsi"/>
      <w:sz w:val="24"/>
      <w:vertAlign w:val="superscript"/>
    </w:rPr>
  </w:style>
  <w:style w:type="character" w:styleId="UnresolvedMention">
    <w:name w:val="Unresolved Mention"/>
    <w:basedOn w:val="DefaultParagraphFont"/>
    <w:uiPriority w:val="99"/>
    <w:semiHidden/>
    <w:unhideWhenUsed/>
    <w:rsid w:val="00076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81335">
      <w:bodyDiv w:val="1"/>
      <w:marLeft w:val="0"/>
      <w:marRight w:val="0"/>
      <w:marTop w:val="0"/>
      <w:marBottom w:val="0"/>
      <w:divBdr>
        <w:top w:val="none" w:sz="0" w:space="0" w:color="auto"/>
        <w:left w:val="none" w:sz="0" w:space="0" w:color="auto"/>
        <w:bottom w:val="none" w:sz="0" w:space="0" w:color="auto"/>
        <w:right w:val="none" w:sz="0" w:space="0" w:color="auto"/>
      </w:divBdr>
    </w:div>
    <w:div w:id="1503423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strikemag.org/bullshi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11</Pages>
  <Words>4821</Words>
  <Characters>26082</Characters>
  <Application>Microsoft Office Word</Application>
  <DocSecurity>0</DocSecurity>
  <Lines>401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11</cp:revision>
  <dcterms:created xsi:type="dcterms:W3CDTF">2024-09-12T04:49:00Z</dcterms:created>
  <dcterms:modified xsi:type="dcterms:W3CDTF">2025-02-04T06:23:00Z</dcterms:modified>
</cp:coreProperties>
</file>