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55A11" w:sz="18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Build Guide — Option A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Every model object as its own SQL statement</w:t>
      </w:r>
    </w:p>
    <w:p>
      <w:pPr>
        <w:spacing w:after="2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Prepared 14 August 2026  ·  companion to 01_Architecture_Documentation.docx</w:t>
      </w:r>
    </w:p>
    <w:p>
      <w:pPr>
        <w:pStyle w:val="Heading1"/>
        <w:spacing w:after="140" w:before="300"/>
      </w:pPr>
      <w:r>
        <w:t xml:space="preserve">Choosing between the two options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Creating or altering views is not available, so nothing in this model is a database object. Everything is a plain SELECT pasted into Power BI as a native query. There are two ways to arrange that.</w:t>
      </w:r>
    </w:p>
    <w:p>
      <w:pPr>
        <w:spacing w:after="120"/>
      </w:pPr>
      <w:r>
        <w:rPr>
          <w:rFonts w:ascii="Calibri" w:cs="Calibri" w:eastAsia="Calibri" w:hAnsi="Calibri"/>
          <w:sz w:val="6"/>
          <w:szCs w:val="6"/>
        </w:rPr>
        <w:t xml:space="preserve"> 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4036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 A — all objects in SQL</w:t>
            </w:r>
          </w:p>
        </w:tc>
        <w:tc>
          <w:tcPr>
            <w:tcW w:type="dxa" w:w="40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 B — three source queries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SQL statements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11, one per model table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3, one per source system</w:t>
            </w:r>
          </w:p>
        </w:tc>
      </w:tr>
      <w:tr>
        <w:tc>
          <w:tcPr>
            <w:tcW w:type="dxa" w:w="1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Power Query does</w:t>
            </w:r>
          </w:p>
        </w:tc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Loads them, generates dim_Date, coerces flags</w:t>
            </w:r>
          </w:p>
        </w:tc>
        <w:tc>
          <w:tcPr>
            <w:tcW w:type="dxa" w:w="40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References each pull and fans it out into 12 objects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Database round trips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 per refresh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per refresh</w:t>
            </w:r>
          </w:p>
        </w:tc>
      </w:tr>
      <w:tr>
        <w:tc>
          <w:tcPr>
            <w:tcW w:type="dxa" w:w="1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Sales order join runs</w:t>
            </w:r>
          </w:p>
        </w:tc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times</w:t>
            </w:r>
          </w:p>
        </w:tc>
        <w:tc>
          <w:tcPr>
            <w:tcW w:type="dxa" w:w="40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Once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Logic lives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Almost entirely at source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Shaping in SQL, merges in M</w:t>
            </w:r>
          </w:p>
        </w:tc>
      </w:tr>
      <w:tr>
        <w:tc>
          <w:tcPr>
            <w:tcW w:type="dxa" w:w="1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Best when</w:t>
            </w:r>
          </w:p>
        </w:tc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team is stronger in SQL, or the warehouse is fast</w:t>
            </w:r>
          </w:p>
        </w:tc>
        <w:tc>
          <w:tcPr>
            <w:tcW w:type="dxa" w:w="40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source view is large, or refresh time matters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Files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06A_SQL_AllObjects.sql + 02A_PowerQuery_AllInSQL.m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06B_SQL_ThreeQueries.sql + 02B_PowerQuery_ThreeQueries.m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hd w:fill="EFF4FC" w:val="clear"/>
        <w:spacing w:after="0" w:before="130"/>
        <w:ind w:left="110" w:right="110"/>
      </w:pPr>
      <w:r>
        <w:rPr>
          <w:rFonts w:ascii="Calibri" w:cs="Calibri" w:eastAsia="Calibri" w:hAnsi="Calibri"/>
          <w:b/>
          <w:bCs/>
          <w:color w:val="274B87"/>
          <w:sz w:val="16"/>
          <w:szCs w:val="16"/>
        </w:rPr>
        <w:t xml:space="preserve">THE MODEL IS IDENTICAL EITHER WAY</w:t>
      </w:r>
    </w:p>
    <w:p>
      <w:pPr>
        <w:shd w:fill="EFF4FC" w:val="clear"/>
        <w:spacing w:after="150"/>
        <w:ind w:left="110" w:right="110"/>
      </w:pPr>
      <w:r>
        <w:rPr>
          <w:rFonts w:ascii="Calibri" w:cs="Calibri" w:eastAsia="Calibri" w:hAnsi="Calibri"/>
          <w:sz w:val="20"/>
          <w:szCs w:val="20"/>
        </w:rPr>
        <w:t xml:space="preserve">Same twelve tables, same twelve relationships, same 135 measures, same numbers. The choice is about where the work happens and how often the database is queried — not about what you end up with. Everything in 01_Architecture_Documentation.docx from section 2 onward applies to both without change.</w:t>
      </w:r>
    </w:p>
    <w:p>
      <w:pPr>
        <w:pStyle w:val="Heading1"/>
        <w:spacing w:after="140" w:before="300"/>
      </w:pPr>
      <w:r>
        <w:t xml:space="preserve">How Option A is arranged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Eleven SELECT statements, each pasted as its own native query and named after the object it returns. The database does the shaping; Power Query loads the result and stops.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836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SQL query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58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58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bridge. Keys, descriptors, capped dates, flags, buckets.</w:t>
            </w:r>
          </w:p>
        </w:tc>
      </w:tr>
      <w:tr>
        <w:tc>
          <w:tcPr>
            <w:tcW w:type="dxa" w:w="11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fact_SalesOrder</w:t>
            </w:r>
          </w:p>
        </w:tc>
        <w:tc>
          <w:tcPr>
            <w:tcW w:type="dxa" w:w="58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quantities and the three-tier FX resolution, inline via OUTER APPLY.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fact_Invoice</w:t>
            </w:r>
          </w:p>
        </w:tc>
        <w:tc>
          <w:tcPr>
            <w:tcW w:type="dxa" w:w="58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Revenue, price bridge, credit memo flag.</w:t>
            </w:r>
          </w:p>
        </w:tc>
      </w:tr>
      <w:tr>
        <w:tc>
          <w:tcPr>
            <w:tcW w:type="dxa" w:w="11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fact_Shipment</w:t>
            </w:r>
          </w:p>
        </w:tc>
        <w:tc>
          <w:tcPr>
            <w:tcW w:type="dxa" w:w="58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Malformed rows filtered, 283 columns down to 40.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dim_Customer</w:t>
            </w:r>
          </w:p>
        </w:tc>
        <w:tc>
          <w:tcPr>
            <w:tcW w:type="dxa" w:w="58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ROW_NUMBER, not DISTINCT — most recent attributes win.</w:t>
            </w:r>
          </w:p>
        </w:tc>
      </w:tr>
      <w:tr>
        <w:tc>
          <w:tcPr>
            <w:tcW w:type="dxa" w:w="11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dim_Product</w:t>
            </w:r>
          </w:p>
        </w:tc>
        <w:tc>
          <w:tcPr>
            <w:tcW w:type="dxa" w:w="58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Item × plant, per your key definition.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dim_Organization</w:t>
            </w:r>
          </w:p>
        </w:tc>
        <w:tc>
          <w:tcPr>
            <w:tcW w:type="dxa" w:w="58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Region × inventory org.</w:t>
            </w:r>
          </w:p>
        </w:tc>
      </w:tr>
      <w:tr>
        <w:tc>
          <w:tcPr>
            <w:tcW w:type="dxa" w:w="11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dim_ReturnReason</w:t>
            </w:r>
          </w:p>
        </w:tc>
        <w:tc>
          <w:tcPr>
            <w:tcW w:type="dxa" w:w="58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Non-breaking spaces stripped, reasons grouped.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dim_Carrier</w:t>
            </w:r>
          </w:p>
        </w:tc>
        <w:tc>
          <w:tcPr>
            <w:tcW w:type="dxa" w:w="58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Malformed rows filtered here too.</w:t>
            </w:r>
          </w:p>
        </w:tc>
      </w:tr>
      <w:tr>
        <w:tc>
          <w:tcPr>
            <w:tcW w:type="dxa" w:w="11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dim_Currency</w:t>
            </w:r>
          </w:p>
        </w:tc>
        <w:tc>
          <w:tcPr>
            <w:tcW w:type="dxa" w:w="58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if d_currency is in the warehouse.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dim_ExchangeRate</w:t>
            </w:r>
          </w:p>
        </w:tc>
        <w:tc>
          <w:tcPr>
            <w:tcW w:type="dxa" w:w="58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if d_exchange_rate is in the warehouse. Optional — relates to nothing.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hd w:fill="FFF9EE" w:val="clear"/>
        <w:spacing w:after="0" w:before="130"/>
        <w:ind w:left="110" w:right="110"/>
      </w:pPr>
      <w:r>
        <w:rPr>
          <w:rFonts w:ascii="Calibri" w:cs="Calibri" w:eastAsia="Calibri" w:hAnsi="Calibri"/>
          <w:b/>
          <w:bCs/>
          <w:color w:val="96601A"/>
          <w:sz w:val="16"/>
          <w:szCs w:val="16"/>
        </w:rPr>
        <w:t xml:space="preserve">TWO THINGS TO CHECK BEFORE COMMITTING TO OPTION A</w:t>
      </w:r>
    </w:p>
    <w:p>
      <w:pPr>
        <w:shd w:fill="FFF9EE" w:val="clear"/>
        <w:spacing w:after="150"/>
        <w:ind w:left="110" w:right="110"/>
      </w:pPr>
      <w:r>
        <w:rPr>
          <w:rFonts w:ascii="Calibri" w:cs="Calibri" w:eastAsia="Calibri" w:hAnsi="Calibri"/>
          <w:sz w:val="20"/>
          <w:szCs w:val="20"/>
        </w:rPr>
        <w:t xml:space="preserve">First, whether d_currency and d_exchange_rate are queryable. If they are still spreadsheets, queries 10 and 11 will not run — 02A carries both as a fallback. Second, whether the FX lookup in query 2 performs acceptably: it correlates against d_exchange_rate per row and wants an index on Conversion_Type, To_Currency_Code, From_Currency_Code and Conversion_Date. If it is slow, Option B turns that into a single merge over a pre-aggregated table.</w:t>
      </w:r>
    </w:p>
    <w:p>
      <w:pPr>
        <w:pStyle w:val="Heading1"/>
        <w:spacing w:after="140" w:before="300"/>
      </w:pPr>
      <w:r>
        <w:t xml:space="preserve">Build sequence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736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67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Disable auto-detect</w:t>
            </w:r>
          </w:p>
        </w:tc>
        <w:tc>
          <w:tcPr>
            <w:tcW w:type="dxa" w:w="67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 → Options → Current File → Data Load: uncheck Autodetect new relationships.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the parameters</w:t>
            </w:r>
          </w:p>
        </w:tc>
        <w:tc>
          <w:tcPr>
            <w:tcW w:type="dxa" w:w="67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p_Server, p_Database. Add p_SourceFolder and p_LastQuotedRateDate only if you need the fallbacks.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Paste the eleven statements</w:t>
            </w:r>
          </w:p>
        </w:tc>
        <w:tc>
          <w:tcPr>
            <w:tcW w:type="dxa" w:w="67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Data → SQL Server → Advanced → SQL statement. One native query each, named after the object.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Coerce the flags</w:t>
            </w:r>
          </w:p>
        </w:tc>
        <w:tc>
          <w:tcPr>
            <w:tcW w:type="dxa" w:w="67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SQL returns 1/0. Convert the Is_* columns to True/False — they slice better and take less memory.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dim_Date</w:t>
            </w:r>
          </w:p>
        </w:tc>
        <w:tc>
          <w:tcPr>
            <w:tcW w:type="dxa" w:w="67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Query 14 in 02A. No source table exists for it.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 the fallbacks if needed</w:t>
            </w:r>
          </w:p>
        </w:tc>
        <w:tc>
          <w:tcPr>
            <w:tcW w:type="dxa" w:w="67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Queries 15 and 16 in 02A, only if the two spreadsheets are not in the warehouse.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 dim_Date</w:t>
            </w:r>
          </w:p>
        </w:tc>
        <w:tc>
          <w:tcPr>
            <w:tcW w:type="dxa" w:w="67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Table tools → Mark as date table → Date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7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relationships</w:t>
            </w:r>
          </w:p>
        </w:tc>
        <w:tc>
          <w:tcPr>
            <w:tcW w:type="dxa" w:w="67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twelve below, manually, all Single direction.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 measures</w:t>
            </w:r>
          </w:p>
        </w:tc>
        <w:tc>
          <w:tcPr>
            <w:tcW w:type="dxa" w:w="67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Blank table named _Measures, then the 135 from 03_DAX_All.dax in printed order.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27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Validate</w:t>
            </w:r>
          </w:p>
        </w:tc>
        <w:tc>
          <w:tcPr>
            <w:tcW w:type="dxa" w:w="67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checks below, before building any visual.</w:t>
            </w:r>
          </w:p>
        </w:tc>
      </w:tr>
    </w:tbl>
    <w:p>
      <w:pPr>
        <w:pStyle w:val="Heading1"/>
        <w:spacing w:after="140" w:before="300"/>
      </w:pPr>
      <w:r>
        <w:t xml:space="preserve">Validation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Run these in Power BI before the model goes anywhere near a stakeholder — as card visuals on a scratch page, or in DAX Query view. Each catches a specific, known failure.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536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5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Catches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Fan Out Alert measure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 OK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relationship added between two fact tables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dim_SalesOrderLine row count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68,977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Accidental dedup or an unintended filter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Distinct LineKey = row count on the bridge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keys breaking the one-side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Ordered MT, no filters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 25.35m MT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 signs not normalised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Shipped MT, no filters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 21.2m MT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Malformed shipment rows not filtered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Net Revenue USD, no filters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 $15.07bn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Fan-out, or credits double-counted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 Coverage 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100.000%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FX resolution broken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Unresolved Rate Lines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currency-region pair missing from the rate table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Lines at Source Rate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30,541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Exchange_Rate not being read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Cancelled Lines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bracketed WHERE clause has regressed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Sentinel Date Lines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cap not applied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Distinct return reasons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Non-breaking space strip not working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Invoiced MT ≤ Shipped MT ≤ Ordered MT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 at total level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Inflation from a fan-out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bidirectional relationship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Ambiguous filter paths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hd w:fill="FEF1EF" w:val="clear"/>
        <w:spacing w:after="0" w:before="130"/>
        <w:ind w:left="110" w:right="110"/>
      </w:pPr>
      <w:r>
        <w:rPr>
          <w:rFonts w:ascii="Calibri" w:cs="Calibri" w:eastAsia="Calibri" w:hAnsi="Calibri"/>
          <w:b/>
          <w:bCs/>
          <w:color w:val="96261C"/>
          <w:sz w:val="16"/>
          <w:szCs w:val="16"/>
        </w:rPr>
        <w:t xml:space="preserve">THE TWO THAT MATTER MOST</w:t>
      </w:r>
    </w:p>
    <w:p>
      <w:pPr>
        <w:shd w:fill="FEF1EF" w:val="clear"/>
        <w:spacing w:after="150"/>
        <w:ind w:left="110" w:right="110"/>
      </w:pPr>
      <w:r>
        <w:rPr>
          <w:rFonts w:ascii="Calibri" w:cs="Calibri" w:eastAsia="Calibri" w:hAnsi="Calibri"/>
          <w:sz w:val="20"/>
          <w:szCs w:val="20"/>
        </w:rPr>
        <w:t xml:space="preserve">If Invoiced MT ever exceeds Ordered MT at the grand-total level, there is a fan-out and every number is wrong. If Ordered MT reads high, the return signs were never normalised. Both are two-second checks and between them they catch the two failure modes this architecture exists to prevent.</w:t>
      </w:r>
    </w:p>
    <w:p>
      <w:pPr>
        <w:pStyle w:val="Heading1"/>
        <w:spacing w:after="140" w:before="300"/>
      </w:pPr>
      <w:r>
        <w:t xml:space="preserve">Relationships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Twelve, identical in both options. Every cross-filter direction is Single.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53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From (1)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 (*)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5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fact_SalesOrder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LineKey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(1:1)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fact_Invoice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LineKey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fact_Shipment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LineKey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dim_Date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Ordered_Date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dim_Date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fact_Invoice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Invoice_Date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Inactive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dim_Date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fact_Shipment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Delivery_Confirm_Date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Inactive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dim_Customer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CustomerKey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dim_Product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ProductKey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dim_Organization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OrgKey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dim_Currency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CurrencyKey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dim_ReturnReason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Return_Reason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dim_Carrier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fact_Shipment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CarrierKey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hd w:fill="FFF9EE" w:val="clear"/>
        <w:spacing w:after="0" w:before="130"/>
        <w:ind w:left="110" w:right="110"/>
      </w:pPr>
      <w:r>
        <w:rPr>
          <w:rFonts w:ascii="Calibri" w:cs="Calibri" w:eastAsia="Calibri" w:hAnsi="Calibri"/>
          <w:b/>
          <w:bCs/>
          <w:color w:val="96601A"/>
          <w:sz w:val="16"/>
          <w:szCs w:val="16"/>
        </w:rPr>
        <w:t xml:space="preserve">BEFORE YOUR FIRST REFRESH</w:t>
      </w:r>
    </w:p>
    <w:p>
      <w:pPr>
        <w:shd w:fill="FFF9EE" w:val="clear"/>
        <w:spacing w:after="150"/>
        <w:ind w:left="110" w:right="110"/>
      </w:pPr>
      <w:r>
        <w:rPr>
          <w:rFonts w:ascii="Calibri" w:cs="Calibri" w:eastAsia="Calibri" w:hAnsi="Calibri"/>
          <w:sz w:val="20"/>
          <w:szCs w:val="20"/>
        </w:rPr>
        <w:t xml:space="preserve">Turn off File → Options → Current File → Data Load → Autodetect new relationships. Left on, Power BI will create a direct Invoice-to-Shipment relationship for you, and you will spend a day wondering why revenue is inflated.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C55A11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Guide — Option A</dc:title>
  <dc:creator>Gabriel de Carvalho</dc:creator>
  <cp:lastModifiedBy>Un-named</cp:lastModifiedBy>
  <cp:revision>1</cp:revision>
  <dcterms:created xsi:type="dcterms:W3CDTF">2026-08-16T14:36:03.882Z</dcterms:created>
  <dcterms:modified xsi:type="dcterms:W3CDTF">2026-08-16T14:36:03.882Z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