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55A11" w:sz="18"/>
        </w:pBd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Build Guide — Option B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3"/>
          <w:szCs w:val="23"/>
        </w:rPr>
        <w:t xml:space="preserve">Three source queries, fanned out in Power Query</w:t>
      </w:r>
    </w:p>
    <w:p>
      <w:pPr>
        <w:spacing w:after="28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Prepared 14 August 2026  ·  companion to 01_Architecture_Documentation.docx</w:t>
      </w:r>
    </w:p>
    <w:p>
      <w:pPr>
        <w:pStyle w:val="Heading1"/>
        <w:spacing w:after="140" w:before="300"/>
      </w:pPr>
      <w:r>
        <w:t xml:space="preserve">Choosing between the two options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Creating or altering views is not available, so nothing in this model is a database object. Everything is a plain SELECT pasted into Power BI as a native query. There are two ways to arrange that.</w:t>
      </w:r>
    </w:p>
    <w:p>
      <w:pPr>
        <w:spacing w:after="120"/>
      </w:pPr>
      <w:r>
        <w:rPr>
          <w:rFonts w:ascii="Calibri" w:cs="Calibri" w:eastAsia="Calibri" w:hAnsi="Calibri"/>
          <w:sz w:val="6"/>
          <w:szCs w:val="6"/>
        </w:rPr>
        <w:t xml:space="preserve"> 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00"/>
        <w:gridCol w:w="4036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Option A — all objects in SQL</w:t>
            </w:r>
          </w:p>
        </w:tc>
        <w:tc>
          <w:tcPr>
            <w:tcW w:type="dxa" w:w="403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Option B — three source queries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SQL statements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11, one per model table</w:t>
            </w:r>
          </w:p>
        </w:tc>
        <w:tc>
          <w:tcPr>
            <w:tcW w:type="dxa" w:w="40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3, one per source system</w:t>
            </w:r>
          </w:p>
        </w:tc>
      </w:tr>
      <w:tr>
        <w:tc>
          <w:tcPr>
            <w:tcW w:type="dxa" w:w="19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Power Query does</w:t>
            </w:r>
          </w:p>
        </w:tc>
        <w:tc>
          <w:tcPr>
            <w:tcW w:type="dxa" w:w="4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Loads them, generates dim_Date, coerces flags</w:t>
            </w:r>
          </w:p>
        </w:tc>
        <w:tc>
          <w:tcPr>
            <w:tcW w:type="dxa" w:w="40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References each pull and fans it out into 12 objects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Database round trips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 per refresh</w:t>
            </w:r>
          </w:p>
        </w:tc>
        <w:tc>
          <w:tcPr>
            <w:tcW w:type="dxa" w:w="40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per refresh</w:t>
            </w:r>
          </w:p>
        </w:tc>
      </w:tr>
      <w:tr>
        <w:tc>
          <w:tcPr>
            <w:tcW w:type="dxa" w:w="19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Sales order join runs</w:t>
            </w:r>
          </w:p>
        </w:tc>
        <w:tc>
          <w:tcPr>
            <w:tcW w:type="dxa" w:w="4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times</w:t>
            </w:r>
          </w:p>
        </w:tc>
        <w:tc>
          <w:tcPr>
            <w:tcW w:type="dxa" w:w="40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Once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Logic lives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Almost entirely at source</w:t>
            </w:r>
          </w:p>
        </w:tc>
        <w:tc>
          <w:tcPr>
            <w:tcW w:type="dxa" w:w="40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Shaping in SQL, merges in M</w:t>
            </w:r>
          </w:p>
        </w:tc>
      </w:tr>
      <w:tr>
        <w:tc>
          <w:tcPr>
            <w:tcW w:type="dxa" w:w="19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Best when</w:t>
            </w:r>
          </w:p>
        </w:tc>
        <w:tc>
          <w:tcPr>
            <w:tcW w:type="dxa" w:w="4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Your team is stronger in SQL, or the warehouse is fast</w:t>
            </w:r>
          </w:p>
        </w:tc>
        <w:tc>
          <w:tcPr>
            <w:tcW w:type="dxa" w:w="40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source view is large, or refresh time matters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Files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06A_SQL_AllObjects.sql + 02A_PowerQuery_AllInSQL.m</w:t>
            </w:r>
          </w:p>
        </w:tc>
        <w:tc>
          <w:tcPr>
            <w:tcW w:type="dxa" w:w="40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06B_SQL_ThreeQueries.sql + 02B_PowerQuery_ThreeQueries.m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p>
      <w:pPr>
        <w:shd w:fill="EFF4FC" w:val="clear"/>
        <w:spacing w:after="0" w:before="130"/>
        <w:ind w:left="110" w:right="110"/>
      </w:pPr>
      <w:r>
        <w:rPr>
          <w:rFonts w:ascii="Calibri" w:cs="Calibri" w:eastAsia="Calibri" w:hAnsi="Calibri"/>
          <w:b/>
          <w:bCs/>
          <w:color w:val="274B87"/>
          <w:sz w:val="16"/>
          <w:szCs w:val="16"/>
        </w:rPr>
        <w:t xml:space="preserve">THE MODEL IS IDENTICAL EITHER WAY</w:t>
      </w:r>
    </w:p>
    <w:p>
      <w:pPr>
        <w:shd w:fill="EFF4FC" w:val="clear"/>
        <w:spacing w:after="150"/>
        <w:ind w:left="110" w:right="110"/>
      </w:pPr>
      <w:r>
        <w:rPr>
          <w:rFonts w:ascii="Calibri" w:cs="Calibri" w:eastAsia="Calibri" w:hAnsi="Calibri"/>
          <w:sz w:val="20"/>
          <w:szCs w:val="20"/>
        </w:rPr>
        <w:t xml:space="preserve">Same twelve tables, same twelve relationships, same 135 measures, same numbers. The choice is about where the work happens and how often the database is queried — not about what you end up with. Everything in 01_Architecture_Documentation.docx from section 2 onward applies to both without change.</w:t>
      </w:r>
    </w:p>
    <w:p>
      <w:pPr>
        <w:pStyle w:val="Heading1"/>
        <w:spacing w:after="140" w:before="300"/>
      </w:pPr>
      <w:r>
        <w:t xml:space="preserve">How Option B is arranged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Three SELECT statements, one per source system. Power Query references each result and fans it out into twelve objects.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6036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 query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Feeds</w:t>
            </w:r>
          </w:p>
        </w:tc>
        <w:tc>
          <w:tcPr>
            <w:tcW w:type="dxa" w:w="603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Objects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qry_SalesOrder_Source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 objects</w:t>
            </w:r>
          </w:p>
        </w:tc>
        <w:tc>
          <w:tcPr>
            <w:tcW w:type="dxa" w:w="60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dim_SalesOrderLine, fact_SalesOrder, dim_Customer, dim_Product, dim_Organization, dim_ReturnReason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qry_Invoice_Source</w:t>
            </w:r>
          </w:p>
        </w:tc>
        <w:tc>
          <w:tcPr>
            <w:tcW w:type="dxa" w:w="13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object</w:t>
            </w:r>
          </w:p>
        </w:tc>
        <w:tc>
          <w:tcPr>
            <w:tcW w:type="dxa" w:w="60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fact_Invoice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qry_Shipment_Source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 objects</w:t>
            </w:r>
          </w:p>
        </w:tc>
        <w:tc>
          <w:tcPr>
            <w:tcW w:type="dxa" w:w="60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fact_Shipment, dim_Carrier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(no database)</w:t>
            </w:r>
          </w:p>
        </w:tc>
        <w:tc>
          <w:tcPr>
            <w:tcW w:type="dxa" w:w="13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 objects</w:t>
            </w:r>
          </w:p>
        </w:tc>
        <w:tc>
          <w:tcPr>
            <w:tcW w:type="dxa" w:w="60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dim_Date generated; dim_Currency and dim_ExchangeRate from the spreadsheets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p>
      <w:pPr>
        <w:shd w:fill="FFF9EE" w:val="clear"/>
        <w:spacing w:after="0" w:before="130"/>
        <w:ind w:left="110" w:right="110"/>
      </w:pPr>
      <w:r>
        <w:rPr>
          <w:rFonts w:ascii="Calibri" w:cs="Calibri" w:eastAsia="Calibri" w:hAnsi="Calibri"/>
          <w:b/>
          <w:bCs/>
          <w:color w:val="96601A"/>
          <w:sz w:val="16"/>
          <w:szCs w:val="16"/>
        </w:rPr>
        <w:t xml:space="preserve">REFERENCE, DO NOT DUPLICATE</w:t>
      </w:r>
    </w:p>
    <w:p>
      <w:pPr>
        <w:shd w:fill="FFF9EE" w:val="clear"/>
        <w:spacing w:after="150"/>
        <w:ind w:left="110" w:right="110"/>
      </w:pPr>
      <w:r>
        <w:rPr>
          <w:rFonts w:ascii="Calibri" w:cs="Calibri" w:eastAsia="Calibri" w:hAnsi="Calibri"/>
          <w:sz w:val="20"/>
          <w:szCs w:val="20"/>
        </w:rPr>
        <w:t xml:space="preserve">Right-click a staging query and choose Reference. Duplicating it re-runs the SQL, so six objects off the sales order pull would mean six round trips per refresh. Referencing reuses one result. Set all three staging queries to Enable load = OFF — they feed the model, they do not belong in it.</w:t>
      </w:r>
    </w:p>
    <w:p>
      <w:pPr>
        <w:spacing w:after="120"/>
      </w:pPr>
      <w:r>
        <w:rPr>
          <w:rFonts w:ascii="Calibri" w:cs="Calibri" w:eastAsia="Calibri" w:hAnsi="Calibri"/>
          <w:sz w:val="6"/>
          <w:szCs w:val="6"/>
        </w:rPr>
        <w:t xml:space="preserve"> 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4136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Does</w:t>
            </w:r>
          </w:p>
        </w:tc>
        <w:tc>
          <w:tcPr>
            <w:tcW w:type="dxa" w:w="413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Why there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SQL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Joins, filters, key construction, string cleaning, date capping, flags, buckets, signed quantities</w:t>
            </w:r>
          </w:p>
        </w:tc>
        <w:tc>
          <w:tcPr>
            <w:tcW w:type="dxa" w:w="41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Anything a single SELECT can do without referencing another query. Runs close to the data.</w:t>
            </w:r>
          </w:p>
        </w:tc>
      </w:tr>
      <w:tr>
        <w:tc>
          <w:tcPr>
            <w:tcW w:type="dxa" w:w="16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Power Query</w:t>
            </w:r>
          </w:p>
        </w:tc>
        <w:tc>
          <w:tcPr>
            <w:tcW w:type="dxa" w:w="42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FX rate merge, dimension de-duplication, the calendar</w:t>
            </w:r>
          </w:p>
        </w:tc>
        <w:tc>
          <w:tcPr>
            <w:tcW w:type="dxa" w:w="41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only work that genuinely needs a second query. Without a view to join to, the rate merge cannot be one statement.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DAX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Aggregation, time intelligence, guards</w:t>
            </w:r>
          </w:p>
        </w:tc>
        <w:tc>
          <w:tcPr>
            <w:tcW w:type="dxa" w:w="41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Nothing that could have been done earlier.</w:t>
            </w:r>
          </w:p>
        </w:tc>
      </w:tr>
    </w:tbl>
    <w:p>
      <w:pPr>
        <w:pStyle w:val="Heading1"/>
        <w:spacing w:after="140" w:before="300"/>
      </w:pPr>
      <w:r>
        <w:t xml:space="preserve">Build sequence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6536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653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Disable auto-detect</w:t>
            </w:r>
          </w:p>
        </w:tc>
        <w:tc>
          <w:tcPr>
            <w:tcW w:type="dxa" w:w="6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File → Options → Current File → Data Load: uncheck Autodetect new relationships.</w:t>
            </w:r>
          </w:p>
        </w:tc>
      </w:tr>
      <w:tr>
        <w:tc>
          <w:tcPr>
            <w:tcW w:type="dxa" w:w="5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9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Create the four parameters</w:t>
            </w:r>
          </w:p>
        </w:tc>
        <w:tc>
          <w:tcPr>
            <w:tcW w:type="dxa" w:w="6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p_Server, p_Database, p_SourceFolder, p_LastQuotedRateDate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Paste the three statements</w:t>
            </w:r>
          </w:p>
        </w:tc>
        <w:tc>
          <w:tcPr>
            <w:tcW w:type="dxa" w:w="6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 Data → SQL Server → Advanced → SQL statement. Set all three to Enable load = OFF.</w:t>
            </w:r>
          </w:p>
        </w:tc>
      </w:tr>
      <w:tr>
        <w:tc>
          <w:tcPr>
            <w:tcW w:type="dxa" w:w="5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9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the three independent queries</w:t>
            </w:r>
          </w:p>
        </w:tc>
        <w:tc>
          <w:tcPr>
            <w:tcW w:type="dxa" w:w="6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dim_ExchangeRate, dim_Currency, dim_Date. No dependencies.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Reference the bridge</w:t>
            </w:r>
          </w:p>
        </w:tc>
        <w:tc>
          <w:tcPr>
            <w:tcW w:type="dxa" w:w="6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Right-click qry_SalesOrder_Source → Reference → dim_SalesOrderLine. Verify LineKey is unique and non-blank before continuing.</w:t>
            </w:r>
          </w:p>
        </w:tc>
      </w:tr>
      <w:tr>
        <w:tc>
          <w:tcPr>
            <w:tcW w:type="dxa" w:w="5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9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Reference the facts</w:t>
            </w:r>
          </w:p>
        </w:tc>
        <w:tc>
          <w:tcPr>
            <w:tcW w:type="dxa" w:w="6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fact_SalesOrder (this one merges dim_ExchangeRate), fact_Invoice, fact_Shipment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Reference the remaining dimensions</w:t>
            </w:r>
          </w:p>
        </w:tc>
        <w:tc>
          <w:tcPr>
            <w:tcW w:type="dxa" w:w="6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dim_Customer, dim_Product, dim_Organization, dim_ReturnReason, dim_Carrier</w:t>
            </w:r>
          </w:p>
        </w:tc>
      </w:tr>
      <w:tr>
        <w:tc>
          <w:tcPr>
            <w:tcW w:type="dxa" w:w="5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29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Mark dim_Date</w:t>
            </w:r>
          </w:p>
        </w:tc>
        <w:tc>
          <w:tcPr>
            <w:tcW w:type="dxa" w:w="6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Table tools → Mark as date table → Date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Create relationships</w:t>
            </w:r>
          </w:p>
        </w:tc>
        <w:tc>
          <w:tcPr>
            <w:tcW w:type="dxa" w:w="6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twelve below, manually, all Single direction.</w:t>
            </w:r>
          </w:p>
        </w:tc>
      </w:tr>
      <w:tr>
        <w:tc>
          <w:tcPr>
            <w:tcW w:type="dxa" w:w="5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29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Add measures</w:t>
            </w:r>
          </w:p>
        </w:tc>
        <w:tc>
          <w:tcPr>
            <w:tcW w:type="dxa" w:w="6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Blank table named _Measures, then the 135 from 03_DAX_All.dax in printed order.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Validate</w:t>
            </w:r>
          </w:p>
        </w:tc>
        <w:tc>
          <w:tcPr>
            <w:tcW w:type="dxa" w:w="6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checks below, before building any visual.</w:t>
            </w:r>
          </w:p>
        </w:tc>
      </w:tr>
    </w:tbl>
    <w:p>
      <w:pPr>
        <w:pStyle w:val="Heading1"/>
        <w:spacing w:after="140" w:before="300"/>
      </w:pPr>
      <w:r>
        <w:t xml:space="preserve">Validation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Run these in Power BI before the model goes anywhere near a stakeholder — as card visuals on a scratch page, or in DAX Query view. Each catches a specific, known failure.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3536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353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Catches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Fan Out Alert measure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Model OK</w:t>
            </w:r>
          </w:p>
        </w:tc>
        <w:tc>
          <w:tcPr>
            <w:tcW w:type="dxa" w:w="3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relationship added between two fact tables</w:t>
            </w:r>
          </w:p>
        </w:tc>
      </w:tr>
      <w:tr>
        <w:tc>
          <w:tcPr>
            <w:tcW w:type="dxa" w:w="4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dim_SalesOrderLine row count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68,977</w:t>
            </w:r>
          </w:p>
        </w:tc>
        <w:tc>
          <w:tcPr>
            <w:tcW w:type="dxa" w:w="3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Accidental dedup or an unintended filter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Distinct LineKey = row count on the bridge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True</w:t>
            </w:r>
          </w:p>
        </w:tc>
        <w:tc>
          <w:tcPr>
            <w:tcW w:type="dxa" w:w="3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Duplicate keys breaking the one-side</w:t>
            </w:r>
          </w:p>
        </w:tc>
      </w:tr>
      <w:tr>
        <w:tc>
          <w:tcPr>
            <w:tcW w:type="dxa" w:w="4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Ordered MT, no filters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≈ 25.35m MT</w:t>
            </w:r>
          </w:p>
        </w:tc>
        <w:tc>
          <w:tcPr>
            <w:tcW w:type="dxa" w:w="3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Return signs not normalised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Shipped MT, no filters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≈ 21.2m MT</w:t>
            </w:r>
          </w:p>
        </w:tc>
        <w:tc>
          <w:tcPr>
            <w:tcW w:type="dxa" w:w="3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Malformed shipment rows not filtered</w:t>
            </w:r>
          </w:p>
        </w:tc>
      </w:tr>
      <w:tr>
        <w:tc>
          <w:tcPr>
            <w:tcW w:type="dxa" w:w="4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Net Revenue USD, no filters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≈ $15.07bn</w:t>
            </w:r>
          </w:p>
        </w:tc>
        <w:tc>
          <w:tcPr>
            <w:tcW w:type="dxa" w:w="3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Fan-out, or credits double-counted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Price Coverage %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100.000%</w:t>
            </w:r>
          </w:p>
        </w:tc>
        <w:tc>
          <w:tcPr>
            <w:tcW w:type="dxa" w:w="3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FX resolution broken</w:t>
            </w:r>
          </w:p>
        </w:tc>
      </w:tr>
      <w:tr>
        <w:tc>
          <w:tcPr>
            <w:tcW w:type="dxa" w:w="4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Unresolved Rate Lines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3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currency-region pair missing from the rate table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Lines at Source Rate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30,541</w:t>
            </w:r>
          </w:p>
        </w:tc>
        <w:tc>
          <w:tcPr>
            <w:tcW w:type="dxa" w:w="3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Exchange_Rate not being read</w:t>
            </w:r>
          </w:p>
        </w:tc>
      </w:tr>
      <w:tr>
        <w:tc>
          <w:tcPr>
            <w:tcW w:type="dxa" w:w="4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Cancelled Lines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3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bracketed WHERE clause has regressed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Sentinel Date Lines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3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 cap not applied</w:t>
            </w:r>
          </w:p>
        </w:tc>
      </w:tr>
      <w:tr>
        <w:tc>
          <w:tcPr>
            <w:tcW w:type="dxa" w:w="4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Distinct return reasons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14</w:t>
            </w:r>
          </w:p>
        </w:tc>
        <w:tc>
          <w:tcPr>
            <w:tcW w:type="dxa" w:w="3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Non-breaking space strip not working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Invoiced MT ≤ Shipped MT ≤ Ordered MT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True at total level</w:t>
            </w:r>
          </w:p>
        </w:tc>
        <w:tc>
          <w:tcPr>
            <w:tcW w:type="dxa" w:w="3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Inflation from a fan-out</w:t>
            </w:r>
          </w:p>
        </w:tc>
      </w:tr>
      <w:tr>
        <w:tc>
          <w:tcPr>
            <w:tcW w:type="dxa" w:w="40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bidirectional relationship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None</w:t>
            </w:r>
          </w:p>
        </w:tc>
        <w:tc>
          <w:tcPr>
            <w:tcW w:type="dxa" w:w="3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Ambiguous filter paths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p>
      <w:pPr>
        <w:shd w:fill="FEF1EF" w:val="clear"/>
        <w:spacing w:after="0" w:before="130"/>
        <w:ind w:left="110" w:right="110"/>
      </w:pPr>
      <w:r>
        <w:rPr>
          <w:rFonts w:ascii="Calibri" w:cs="Calibri" w:eastAsia="Calibri" w:hAnsi="Calibri"/>
          <w:b/>
          <w:bCs/>
          <w:color w:val="96261C"/>
          <w:sz w:val="16"/>
          <w:szCs w:val="16"/>
        </w:rPr>
        <w:t xml:space="preserve">THE TWO THAT MATTER MOST</w:t>
      </w:r>
    </w:p>
    <w:p>
      <w:pPr>
        <w:shd w:fill="FEF1EF" w:val="clear"/>
        <w:spacing w:after="150"/>
        <w:ind w:left="110" w:right="110"/>
      </w:pPr>
      <w:r>
        <w:rPr>
          <w:rFonts w:ascii="Calibri" w:cs="Calibri" w:eastAsia="Calibri" w:hAnsi="Calibri"/>
          <w:sz w:val="20"/>
          <w:szCs w:val="20"/>
        </w:rPr>
        <w:t xml:space="preserve">If Invoiced MT ever exceeds Ordered MT at the grand-total level, there is a fan-out and every number is wrong. If Ordered MT reads high, the return signs were never normalised. Both are two-second checks and between them they catch the two failure modes this architecture exists to prevent.</w:t>
      </w:r>
    </w:p>
    <w:p>
      <w:pPr>
        <w:pStyle w:val="Heading1"/>
        <w:spacing w:after="140" w:before="300"/>
      </w:pPr>
      <w:r>
        <w:t xml:space="preserve">Relationships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Twelve, identical in both options. Every cross-filter direction is Single.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536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From (1)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 (*)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53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dim_SalesOrderLine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fact_SalesOrder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LineKey</w:t>
            </w:r>
          </w:p>
        </w:tc>
        <w:tc>
          <w:tcPr>
            <w:tcW w:type="dxa" w:w="2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 (1:1)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dim_SalesOrderLine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fact_Invoice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LineKey</w:t>
            </w:r>
          </w:p>
        </w:tc>
        <w:tc>
          <w:tcPr>
            <w:tcW w:type="dxa" w:w="2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dim_SalesOrderLine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fact_Shipment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LineKey</w:t>
            </w:r>
          </w:p>
        </w:tc>
        <w:tc>
          <w:tcPr>
            <w:tcW w:type="dxa" w:w="2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dim_Date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dim_SalesOrderLine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Ordered_Date</w:t>
            </w:r>
          </w:p>
        </w:tc>
        <w:tc>
          <w:tcPr>
            <w:tcW w:type="dxa" w:w="2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dim_Date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fact_Invoice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Invoice_Date</w:t>
            </w:r>
          </w:p>
        </w:tc>
        <w:tc>
          <w:tcPr>
            <w:tcW w:type="dxa" w:w="2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Inactive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dim_Date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fact_Shipment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Delivery_Confirm_Date</w:t>
            </w:r>
          </w:p>
        </w:tc>
        <w:tc>
          <w:tcPr>
            <w:tcW w:type="dxa" w:w="2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Inactive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dim_Customer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dim_SalesOrderLine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CustomerKey</w:t>
            </w:r>
          </w:p>
        </w:tc>
        <w:tc>
          <w:tcPr>
            <w:tcW w:type="dxa" w:w="2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dim_Product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dim_SalesOrderLine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ProductKey</w:t>
            </w:r>
          </w:p>
        </w:tc>
        <w:tc>
          <w:tcPr>
            <w:tcW w:type="dxa" w:w="2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dim_Organization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dim_SalesOrderLine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OrgKey</w:t>
            </w:r>
          </w:p>
        </w:tc>
        <w:tc>
          <w:tcPr>
            <w:tcW w:type="dxa" w:w="2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dim_Currency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dim_SalesOrderLine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CurrencyKey</w:t>
            </w:r>
          </w:p>
        </w:tc>
        <w:tc>
          <w:tcPr>
            <w:tcW w:type="dxa" w:w="2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dim_ReturnReason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dim_SalesOrderLine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Return_Reason</w:t>
            </w:r>
          </w:p>
        </w:tc>
        <w:tc>
          <w:tcPr>
            <w:tcW w:type="dxa" w:w="2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dim_Carrier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fact_Shipment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CarrierKey</w:t>
            </w:r>
          </w:p>
        </w:tc>
        <w:tc>
          <w:tcPr>
            <w:tcW w:type="dxa" w:w="253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p>
      <w:pPr>
        <w:shd w:fill="FFF9EE" w:val="clear"/>
        <w:spacing w:after="0" w:before="130"/>
        <w:ind w:left="110" w:right="110"/>
      </w:pPr>
      <w:r>
        <w:rPr>
          <w:rFonts w:ascii="Calibri" w:cs="Calibri" w:eastAsia="Calibri" w:hAnsi="Calibri"/>
          <w:b/>
          <w:bCs/>
          <w:color w:val="96601A"/>
          <w:sz w:val="16"/>
          <w:szCs w:val="16"/>
        </w:rPr>
        <w:t xml:space="preserve">BEFORE YOUR FIRST REFRESH</w:t>
      </w:r>
    </w:p>
    <w:p>
      <w:pPr>
        <w:shd w:fill="FFF9EE" w:val="clear"/>
        <w:spacing w:after="150"/>
        <w:ind w:left="110" w:right="110"/>
      </w:pPr>
      <w:r>
        <w:rPr>
          <w:rFonts w:ascii="Calibri" w:cs="Calibri" w:eastAsia="Calibri" w:hAnsi="Calibri"/>
          <w:sz w:val="20"/>
          <w:szCs w:val="20"/>
        </w:rPr>
        <w:t xml:space="preserve">Turn off File → Options → Current File → Data Load → Autodetect new relationships. Left on, Power BI will create a direct Invoice-to-Shipment relationship for you, and you will spend a day wondering why revenue is inflated.</w:t>
      </w:r>
    </w:p>
    <w:sectPr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4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C55A11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Guide — Option B</dc:title>
  <dc:creator>Gabriel de Carvalho</dc:creator>
  <cp:lastModifiedBy>Un-named</cp:lastModifiedBy>
  <cp:revision>1</cp:revision>
  <dcterms:created xsi:type="dcterms:W3CDTF">2026-08-16T14:36:03.948Z</dcterms:created>
  <dcterms:modified xsi:type="dcterms:W3CDTF">2026-08-16T14:36:03.948Z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