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55A11" w:sz="18"/>
        </w:pBdr>
        <w:spacing w:after="60"/>
      </w:pPr>
      <w:r>
        <w:rPr>
          <w:rFonts w:ascii="Calibri" w:cs="Calibri" w:eastAsia="Calibri" w:hAnsi="Calibri"/>
          <w:b/>
          <w:bCs/>
          <w:color w:val="1F3864"/>
          <w:sz w:val="44"/>
          <w:szCs w:val="44"/>
        </w:rPr>
        <w:t xml:space="preserve">Order-to-Cash Analytics Model</w:t>
      </w:r>
    </w:p>
    <w:p>
      <w:pPr>
        <w:spacing w:after="40"/>
      </w:pPr>
      <w:r>
        <w:rPr>
          <w:rFonts w:ascii="Calibri" w:cs="Calibri" w:eastAsia="Calibri" w:hAnsi="Calibri"/>
          <w:color w:val="595959"/>
          <w:sz w:val="24"/>
          <w:szCs w:val="24"/>
        </w:rPr>
        <w:t xml:space="preserve">Architecture, dimensional design and build specification</w:t>
      </w:r>
    </w:p>
    <w:p>
      <w:pPr>
        <w:spacing w:after="280"/>
      </w:pPr>
      <w:r>
        <w:rPr>
          <w:rFonts w:ascii="Calibri" w:cs="Calibri" w:eastAsia="Calibri" w:hAnsi="Calibri"/>
          <w:color w:val="595959"/>
          <w:sz w:val="18"/>
          <w:szCs w:val="18"/>
        </w:rPr>
        <w:t xml:space="preserve">Sales Order · Invoice · Shipment  |  Prepared 14 August 2026</w:t>
      </w:r>
    </w:p>
    <w:p>
      <w:pPr>
        <w:pStyle w:val="Heading1"/>
        <w:spacing w:after="140" w:before="300"/>
      </w:pPr>
      <w:r>
        <w:t xml:space="preserve">1. What this document covers</w:t>
      </w:r>
    </w:p>
    <w:p>
      <w:pPr>
        <w:spacing w:after="120"/>
      </w:pPr>
      <w:r>
        <w:rPr>
          <w:rFonts w:ascii="Calibri" w:cs="Calibri" w:eastAsia="Calibri" w:hAnsi="Calibri"/>
          <w:sz w:val="21"/>
          <w:szCs w:val="21"/>
        </w:rPr>
        <w:t xml:space="preserve">A complete specification for a Power BI model over three fact extracts and two dimension files. It covers the dimensional design, the exact Power Query and DAX to build it, the corrections the source data needs, and the questions the model cannot answer yet.</w:t>
      </w:r>
    </w:p>
    <w:p>
      <w:pPr>
        <w:spacing w:after="120"/>
      </w:pPr>
      <w:r>
        <w:rPr>
          <w:rFonts w:ascii="Calibri" w:cs="Calibri" w:eastAsia="Calibri" w:hAnsi="Calibri"/>
          <w:sz w:val="8"/>
          <w:szCs w:val="8"/>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400"/>
        <w:gridCol w:w="6536"/>
      </w:tblGrid>
      <w:tr>
        <w:trPr>
          <w:tblHeader/>
        </w:trPr>
        <w:tc>
          <w:tcPr>
            <w:tcW w:type="dxa" w:w="3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File</w:t>
            </w:r>
          </w:p>
        </w:tc>
        <w:tc>
          <w:tcPr>
            <w:tcW w:type="dxa" w:w="65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Contents</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01_Architecture_Documentation.docx</w:t>
            </w:r>
          </w:p>
        </w:tc>
        <w:tc>
          <w:tcPr>
            <w:tcW w:type="dxa" w:w="6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This document</w:t>
            </w:r>
          </w:p>
        </w:tc>
      </w:tr>
      <w:tr>
        <w:tc>
          <w:tcPr>
            <w:tcW w:type="dxa" w:w="3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02_PowerQuery_All.m</w:t>
            </w:r>
          </w:p>
        </w:tc>
        <w:tc>
          <w:tcPr>
            <w:tcW w:type="dxa" w:w="6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19 queries — 4 parameters, 3 SQL staging queries, 12 model objects</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03_DAX_All.dax</w:t>
            </w:r>
          </w:p>
        </w:tc>
        <w:tc>
          <w:tcPr>
            <w:tcW w:type="dxa" w:w="6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7 calculated columns, 131 measures in 12 folders</w:t>
            </w:r>
          </w:p>
        </w:tc>
      </w:tr>
      <w:tr>
        <w:tc>
          <w:tcPr>
            <w:tcW w:type="dxa" w:w="3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04_KPI_Catalogue.xlsx</w:t>
            </w:r>
          </w:p>
        </w:tc>
        <w:tc>
          <w:tcPr>
            <w:tcW w:type="dxa" w:w="6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131 measures with sample values, plus the blocked-KPI register</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05_Dashboard_Prototype.html</w:t>
            </w:r>
          </w:p>
        </w:tc>
        <w:tc>
          <w:tcPr>
            <w:tcW w:type="dxa" w:w="6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Interactive prototype of the report</w:t>
            </w:r>
          </w:p>
        </w:tc>
      </w:tr>
      <w:tr>
        <w:tc>
          <w:tcPr>
            <w:tcW w:type="dxa" w:w="3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06_SQL_Source_Queries.sql</w:t>
            </w:r>
          </w:p>
        </w:tc>
        <w:tc>
          <w:tcPr>
            <w:tcW w:type="dxa" w:w="6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Three plain SELECT statements — no DDL. Pasted into Power BI as native queries.</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model_diagram.png</w:t>
            </w:r>
          </w:p>
        </w:tc>
        <w:tc>
          <w:tcPr>
            <w:tcW w:type="dxa" w:w="6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The schema diagram from section 3</w:t>
            </w:r>
          </w:p>
        </w:tc>
      </w:tr>
    </w:tbl>
    <w:p>
      <w:pPr>
        <w:spacing w:after="120"/>
      </w:pPr>
      <w:r>
        <w:rPr>
          <w:rFonts w:ascii="Calibri" w:cs="Calibri" w:eastAsia="Calibri" w:hAnsi="Calibri"/>
          <w:sz w:val="10"/>
          <w:szCs w:val="10"/>
        </w:rPr>
        <w:t xml:space="preserve"> </w:t>
      </w:r>
    </w:p>
    <w:p>
      <w:pPr>
        <w:shd w:fill="FFF9EE" w:val="clear"/>
        <w:spacing w:after="0" w:before="130"/>
        <w:ind w:left="110" w:right="110"/>
      </w:pPr>
      <w:r>
        <w:rPr>
          <w:rFonts w:ascii="Calibri" w:cs="Calibri" w:eastAsia="Calibri" w:hAnsi="Calibri"/>
          <w:b/>
          <w:bCs/>
          <w:color w:val="96601A"/>
          <w:sz w:val="16"/>
          <w:szCs w:val="16"/>
        </w:rPr>
        <w:t xml:space="preserve">READ THIS FIRST</w:t>
      </w:r>
    </w:p>
    <w:p>
      <w:pPr>
        <w:shd w:fill="FFF9EE" w:val="clear"/>
        <w:spacing w:after="150"/>
        <w:ind w:left="110" w:right="110"/>
      </w:pPr>
      <w:r>
        <w:rPr>
          <w:rFonts w:ascii="Calibri" w:cs="Calibri" w:eastAsia="Calibri" w:hAnsi="Calibri"/>
          <w:sz w:val="20"/>
          <w:szCs w:val="20"/>
        </w:rPr>
        <w:t xml:space="preserve">Four things in the source data will produce materially wrong numbers if loaded untouched — sections 2 and 6 cover them. The WHERE-clause precedence bug flagged in an earlier revision has since been fixed in your v2 query, and section 2 now documents it as a regression guard rather than an open defect. Everything here, including which date the currency conversion is struck at and what USC actually means, has been tested against the extracts rather than assumed from column names.</w:t>
      </w:r>
    </w:p>
    <w:p>
      <w:pPr>
        <w:pStyle w:val="Heading2"/>
        <w:spacing w:after="140" w:before="300"/>
      </w:pPr>
      <w:r>
        <w:t xml:space="preserve">1.1 What runs where</w:t>
      </w:r>
    </w:p>
    <w:p>
      <w:pPr>
        <w:spacing w:after="120"/>
      </w:pPr>
      <w:r>
        <w:rPr>
          <w:rFonts w:ascii="Calibri" w:cs="Calibri" w:eastAsia="Calibri" w:hAnsi="Calibri"/>
          <w:b/>
          <w:bCs/>
          <w:sz w:val="21"/>
          <w:szCs w:val="21"/>
        </w:rPr>
        <w:t xml:space="preserve">Creating or altering views is not available, so nothing in this model is a database object. </w:t>
      </w:r>
      <w:r>
        <w:rPr>
          <w:rFonts w:ascii="Calibri" w:cs="Calibri" w:eastAsia="Calibri" w:hAnsi="Calibri"/>
          <w:sz w:val="21"/>
          <w:szCs w:val="21"/>
        </w:rPr>
        <w:t xml:space="preserve">The three SQL statements are pasted into Power BI as native queries, and every model table is built in Power Query by </w:t>
      </w:r>
      <w:r>
        <w:rPr>
          <w:rFonts w:ascii="Calibri" w:cs="Calibri" w:eastAsia="Calibri" w:hAnsi="Calibri"/>
          <w:i/>
          <w:iCs/>
          <w:sz w:val="21"/>
          <w:szCs w:val="21"/>
        </w:rPr>
        <w:t xml:space="preserve">referencing</w:t>
      </w:r>
      <w:r>
        <w:rPr>
          <w:rFonts w:ascii="Calibri" w:cs="Calibri" w:eastAsia="Calibri" w:hAnsi="Calibri"/>
          <w:sz w:val="21"/>
          <w:szCs w:val="21"/>
        </w:rPr>
        <w:t xml:space="preserve"> one of those three results.</w:t>
      </w:r>
    </w:p>
    <w:p>
      <w:pPr>
        <w:spacing w:after="120"/>
      </w:pPr>
      <w:r>
        <w:rPr>
          <w:rFonts w:ascii="Calibri" w:cs="Calibri" w:eastAsia="Calibri" w:hAnsi="Calibri"/>
          <w:sz w:val="6"/>
          <w:szCs w:val="6"/>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6036"/>
      </w:tblGrid>
      <w:tr>
        <w:trPr>
          <w:tblHeader/>
        </w:trPr>
        <w:tc>
          <w:tcPr>
            <w:tcW w:type="dxa" w:w="2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Source query</w:t>
            </w:r>
          </w:p>
        </w:tc>
        <w:tc>
          <w:tcPr>
            <w:tcW w:type="dxa" w:w="1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Feeds</w:t>
            </w:r>
          </w:p>
        </w:tc>
        <w:tc>
          <w:tcPr>
            <w:tcW w:type="dxa" w:w="60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Objects</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qry_SalesOrder_Source</w:t>
            </w:r>
          </w:p>
        </w:tc>
        <w:tc>
          <w:tcPr>
            <w:tcW w:type="dxa" w:w="1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6 objects</w:t>
            </w:r>
          </w:p>
        </w:tc>
        <w:tc>
          <w:tcPr>
            <w:tcW w:type="dxa" w:w="60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dim_SalesOrderLine, fact_SalesOrder, dim_Customer, dim_Product, dim_Organization, dim_ReturnReason</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qry_Invoice_Source</w:t>
            </w:r>
          </w:p>
        </w:tc>
        <w:tc>
          <w:tcPr>
            <w:tcW w:type="dxa" w:w="1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1 object</w:t>
            </w:r>
          </w:p>
        </w:tc>
        <w:tc>
          <w:tcPr>
            <w:tcW w:type="dxa" w:w="60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fact_Invoice</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qry_Shipment_Source</w:t>
            </w:r>
          </w:p>
        </w:tc>
        <w:tc>
          <w:tcPr>
            <w:tcW w:type="dxa" w:w="1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2 objects</w:t>
            </w:r>
          </w:p>
        </w:tc>
        <w:tc>
          <w:tcPr>
            <w:tcW w:type="dxa" w:w="60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fact_Shipment, dim_Carrier</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(no database)</w:t>
            </w:r>
          </w:p>
        </w:tc>
        <w:tc>
          <w:tcPr>
            <w:tcW w:type="dxa" w:w="1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3 objects</w:t>
            </w:r>
          </w:p>
        </w:tc>
        <w:tc>
          <w:tcPr>
            <w:tcW w:type="dxa" w:w="60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dim_Date generated; dim_Currency and dim_ExchangeRate from the two spreadsheets</w:t>
            </w:r>
          </w:p>
        </w:tc>
      </w:tr>
    </w:tbl>
    <w:p>
      <w:pPr>
        <w:spacing w:after="120"/>
      </w:pPr>
      <w:r>
        <w:rPr>
          <w:rFonts w:ascii="Calibri" w:cs="Calibri" w:eastAsia="Calibri" w:hAnsi="Calibri"/>
          <w:sz w:val="8"/>
          <w:szCs w:val="8"/>
        </w:rPr>
        <w:t xml:space="preserve"> </w:t>
      </w:r>
    </w:p>
    <w:p>
      <w:pPr>
        <w:shd w:fill="FFF9EE" w:val="clear"/>
        <w:spacing w:after="0" w:before="130"/>
        <w:ind w:left="110" w:right="110"/>
      </w:pPr>
      <w:r>
        <w:rPr>
          <w:rFonts w:ascii="Calibri" w:cs="Calibri" w:eastAsia="Calibri" w:hAnsi="Calibri"/>
          <w:b/>
          <w:bCs/>
          <w:color w:val="96601A"/>
          <w:sz w:val="16"/>
          <w:szCs w:val="16"/>
        </w:rPr>
        <w:t xml:space="preserve">REFERENCE, DO NOT DUPLICATE</w:t>
      </w:r>
    </w:p>
    <w:p>
      <w:pPr>
        <w:shd w:fill="FFF9EE" w:val="clear"/>
        <w:spacing w:after="150"/>
        <w:ind w:left="110" w:right="110"/>
      </w:pPr>
      <w:r>
        <w:rPr>
          <w:rFonts w:ascii="Calibri" w:cs="Calibri" w:eastAsia="Calibri" w:hAnsi="Calibri"/>
          <w:sz w:val="20"/>
          <w:szCs w:val="20"/>
        </w:rPr>
        <w:t xml:space="preserve">Right-click a staging query and choose Reference. Duplicating it re-runs the SQL, so twelve objects would mean twelve round trips to the database on every refresh. Referencing reuses one result. Set all three staging queries to Enable load = OFF — they feed the model, they do not belong in it.</w:t>
      </w:r>
    </w:p>
    <w:p>
      <w:pPr>
        <w:spacing w:after="120"/>
      </w:pPr>
      <w:r>
        <w:rPr>
          <w:rFonts w:ascii="Calibri" w:cs="Calibri" w:eastAsia="Calibri" w:hAnsi="Calibri"/>
          <w:sz w:val="6"/>
          <w:szCs w:val="6"/>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4136"/>
      </w:tblGrid>
      <w:tr>
        <w:trPr>
          <w:tblHeader/>
        </w:trPr>
        <w:tc>
          <w:tcPr>
            <w:tcW w:type="dxa" w:w="1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Layer</w:t>
            </w:r>
          </w:p>
        </w:tc>
        <w:tc>
          <w:tcPr>
            <w:tcW w:type="dxa" w:w="4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Does</w:t>
            </w:r>
          </w:p>
        </w:tc>
        <w:tc>
          <w:tcPr>
            <w:tcW w:type="dxa" w:w="41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Why there</w:t>
            </w:r>
          </w:p>
        </w:tc>
      </w:tr>
      <w:tr>
        <w:tc>
          <w:tcPr>
            <w:tcW w:type="dxa" w:w="1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SQL</w:t>
            </w:r>
          </w:p>
        </w:tc>
        <w:tc>
          <w:tcPr>
            <w:tcW w:type="dxa" w:w="42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Joins, filters, key construction, string cleaning, date capping, flags, buckets, signed quantities</w:t>
            </w:r>
          </w:p>
        </w:tc>
        <w:tc>
          <w:tcPr>
            <w:tcW w:type="dxa" w:w="41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Anything a single SELECT can do without referencing another query. Runs on the server, close to the data.</w:t>
            </w:r>
          </w:p>
        </w:tc>
      </w:tr>
      <w:tr>
        <w:tc>
          <w:tcPr>
            <w:tcW w:type="dxa" w:w="1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Power Query</w:t>
            </w:r>
          </w:p>
        </w:tc>
        <w:tc>
          <w:tcPr>
            <w:tcW w:type="dxa" w:w="42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The FX rate merge, dimension de-duplication, the calendar</w:t>
            </w:r>
          </w:p>
        </w:tc>
        <w:tc>
          <w:tcPr>
            <w:tcW w:type="dxa" w:w="41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The only work that genuinely needs a second query. The rate merge cannot be a single SELECT without a view to join to.</w:t>
            </w:r>
          </w:p>
        </w:tc>
      </w:tr>
      <w:tr>
        <w:tc>
          <w:tcPr>
            <w:tcW w:type="dxa" w:w="1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DAX</w:t>
            </w:r>
          </w:p>
        </w:tc>
        <w:tc>
          <w:tcPr>
            <w:tcW w:type="dxa" w:w="42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Aggregation, time intelligence, guards</w:t>
            </w:r>
          </w:p>
        </w:tc>
        <w:tc>
          <w:tcPr>
            <w:tcW w:type="dxa" w:w="41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Nothing that could have been done earlier.</w:t>
            </w:r>
          </w:p>
        </w:tc>
      </w:tr>
    </w:tbl>
    <w:p>
      <w:pPr>
        <w:spacing w:after="120"/>
      </w:pPr>
      <w:r>
        <w:rPr>
          <w:rFonts w:ascii="Calibri" w:cs="Calibri" w:eastAsia="Calibri" w:hAnsi="Calibri"/>
          <w:sz w:val="10"/>
          <w:szCs w:val="10"/>
        </w:rPr>
        <w:t xml:space="preserve"> </w:t>
      </w:r>
    </w:p>
    <w:p>
      <w:pPr>
        <w:pStyle w:val="Heading1"/>
        <w:spacing w:after="140" w:before="300"/>
      </w:pPr>
      <w:r>
        <w:t xml:space="preserve">2. Source query review</w:t>
      </w:r>
    </w:p>
    <w:p>
      <w:pPr>
        <w:pStyle w:val="Heading2"/>
        <w:spacing w:after="140" w:before="300"/>
      </w:pPr>
      <w:r>
        <w:t xml:space="preserve">2.1 An operator precedence bug in all three queries</w:t>
      </w:r>
    </w:p>
    <w:p>
      <w:pPr>
        <w:spacing w:after="120"/>
      </w:pPr>
      <w:r>
        <w:rPr>
          <w:rFonts w:ascii="Calibri" w:cs="Calibri" w:eastAsia="Calibri" w:hAnsi="Calibri"/>
          <w:sz w:val="21"/>
          <w:szCs w:val="21"/>
        </w:rPr>
        <w:t xml:space="preserve">Each of the three source queries ends with a WHERE clause of this shape:</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WHERE 1 = 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sofv.[Line_Cancelled_Flag] = 'N'</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sofv.[Line_Schedule_Ship_Date] &gt;= '2026-01-01'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sofv.[Line_Actual_Shipment_Date] &gt;= '2026-01-01'</w:t>
      </w:r>
    </w:p>
    <w:p>
      <w:pPr>
        <w:spacing w:after="110"/>
      </w:pPr>
      <w:r>
        <w:rPr>
          <w:sz w:val="8"/>
          <w:szCs w:val="8"/>
        </w:rPr>
        <w:t xml:space="preserve"/>
      </w:r>
    </w:p>
    <w:p>
      <w:pPr>
        <w:spacing w:after="120"/>
      </w:pPr>
      <w:r>
        <w:rPr>
          <w:rFonts w:ascii="Calibri" w:cs="Calibri" w:eastAsia="Calibri" w:hAnsi="Calibri"/>
          <w:b/>
          <w:bCs/>
          <w:sz w:val="21"/>
          <w:szCs w:val="21"/>
        </w:rPr>
        <w:t xml:space="preserve">AND binds tighter than OR</w:t>
      </w:r>
      <w:r>
        <w:rPr>
          <w:rFonts w:ascii="Calibri" w:cs="Calibri" w:eastAsia="Calibri" w:hAnsi="Calibri"/>
          <w:sz w:val="21"/>
          <w:szCs w:val="21"/>
        </w:rPr>
        <w:t xml:space="preserve">, so SQL reads this as </w:t>
      </w:r>
      <w:r>
        <w:rPr>
          <w:rFonts w:ascii="Consolas" w:cs="Consolas" w:eastAsia="Consolas" w:hAnsi="Consolas"/>
          <w:sz w:val="19"/>
          <w:szCs w:val="19"/>
        </w:rPr>
        <w:t xml:space="preserve">(1=1 AND cancelled='N' AND schedule &gt;= X) OR (actual &gt;= X)</w:t>
      </w:r>
      <w:r>
        <w:rPr>
          <w:rFonts w:ascii="Calibri" w:cs="Calibri" w:eastAsia="Calibri" w:hAnsi="Calibri"/>
          <w:sz w:val="21"/>
          <w:szCs w:val="21"/>
        </w:rPr>
        <w:t xml:space="preserve">. The date filter you intended as one condition has become two independent branches, and every filter to its left is bypassed whenever the second branch is true.</w:t>
      </w:r>
    </w:p>
    <w:p>
      <w:pPr>
        <w:spacing w:after="100"/>
      </w:pPr>
      <w:r>
        <w:rPr>
          <w:rFonts w:ascii="Calibri" w:cs="Calibri" w:eastAsia="Calibri" w:hAnsi="Calibri"/>
          <w:sz w:val="21"/>
          <w:szCs w:val="21"/>
        </w:rPr>
        <w:t xml:space="preserve">What that costs you, measured on the extract:</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5236"/>
      </w:tblGrid>
      <w:tr>
        <w:trPr>
          <w:tblHeader/>
        </w:trPr>
        <w:tc>
          <w:tcPr>
            <w:tcW w:type="dxa" w:w="3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Symptom</w:t>
            </w:r>
          </w:p>
        </w:tc>
        <w:tc>
          <w:tcPr>
            <w:tcW w:type="dxa" w:w="1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Count</w:t>
            </w:r>
          </w:p>
        </w:tc>
        <w:tc>
          <w:tcPr>
            <w:tcW w:type="dxa" w:w="52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Consequence</w:t>
            </w:r>
          </w:p>
        </w:tc>
      </w:tr>
      <w:tr>
        <w:tc>
          <w:tcPr>
            <w:tcW w:type="dxa" w:w="3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Cancelled lines present despite the filter</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39</w:t>
            </w:r>
          </w:p>
        </w:tc>
        <w:tc>
          <w:tcPr>
            <w:tcW w:type="dxa" w:w="52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Line_Cancelled_Flag = 'N' is not being applied</w:t>
            </w:r>
          </w:p>
        </w:tc>
      </w:tr>
      <w:tr>
        <w:tc>
          <w:tcPr>
            <w:tcW w:type="dxa" w:w="36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Rows entering only via the OR branch</w:t>
            </w:r>
          </w:p>
        </w:tc>
        <w:tc>
          <w:tcPr>
            <w:tcW w:type="dxa" w:w="11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1,554</w:t>
            </w:r>
          </w:p>
        </w:tc>
        <w:tc>
          <w:tcPr>
            <w:tcW w:type="dxa" w:w="52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Schedule date is before 2026 — outside the intended window</w:t>
            </w:r>
          </w:p>
        </w:tc>
      </w:tr>
      <w:tr>
        <w:tc>
          <w:tcPr>
            <w:tcW w:type="dxa" w:w="3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Shipment rows past the status filter</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not isolated</w:t>
            </w:r>
          </w:p>
        </w:tc>
        <w:tc>
          <w:tcPr>
            <w:tcW w:type="dxa" w:w="52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Delivery_Detail_Released_Status &lt;&gt; 'Cancelled' sits left of the OR in the shipment query, so it is bypassed the same way</w:t>
            </w:r>
          </w:p>
        </w:tc>
      </w:tr>
    </w:tbl>
    <w:p>
      <w:pPr>
        <w:spacing w:after="120"/>
      </w:pPr>
      <w:r>
        <w:rPr>
          <w:rFonts w:ascii="Calibri" w:cs="Calibri" w:eastAsia="Calibri" w:hAnsi="Calibri"/>
          <w:sz w:val="8"/>
          <w:szCs w:val="8"/>
        </w:rPr>
        <w:t xml:space="preserve"> </w:t>
      </w:r>
    </w:p>
    <w:p>
      <w:pPr>
        <w:spacing w:after="80"/>
      </w:pPr>
      <w:r>
        <w:rPr>
          <w:rFonts w:ascii="Calibri" w:cs="Calibri" w:eastAsia="Calibri" w:hAnsi="Calibri"/>
          <w:sz w:val="21"/>
          <w:szCs w:val="21"/>
        </w:rPr>
        <w:t xml:space="preserve">The fix is one pair of brackets. Applied to the sales order query:</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WHERE 1 = 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sofv.[Line_Cancelled_Flag] = 'N'</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sofv.[Line_Schedule_Ship_Date]  &gt;= '2026-01-01'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sofv.[Line_Actual_Shipment_Date] &gt;= '2026-01-01'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w:t>
      </w:r>
    </w:p>
    <w:p>
      <w:pPr>
        <w:spacing w:after="110"/>
      </w:pPr>
      <w:r>
        <w:rPr>
          <w:sz w:val="8"/>
          <w:szCs w:val="8"/>
        </w:rPr>
        <w:t xml:space="preserve"/>
      </w:r>
    </w:p>
    <w:p>
      <w:pPr>
        <w:spacing w:after="80"/>
      </w:pPr>
      <w:r>
        <w:rPr>
          <w:rFonts w:ascii="Calibri" w:cs="Calibri" w:eastAsia="Calibri" w:hAnsi="Calibri"/>
          <w:sz w:val="21"/>
          <w:szCs w:val="21"/>
        </w:rPr>
        <w:t xml:space="preserve">The invoice query needs the same treatment around its two sov date conditions, and the shipment query needs it around its two, with the released-status filter kept outside the brackets:</w:t>
      </w:r>
    </w:p>
    <w:p>
      <w:pPr>
        <w:shd w:fill="F4F6FA" w:val="clear"/>
        <w:spacing w:after="0" w:line="225" w:lineRule="exact"/>
        <w:ind w:left="110" w:right="110"/>
      </w:pPr>
      <w:r>
        <w:rPr>
          <w:rFonts w:ascii="Consolas" w:cs="Consolas" w:eastAsia="Consolas" w:hAnsi="Consolas"/>
          <w:i/>
          <w:iCs/>
          <w:color w:val="6E7A8F"/>
          <w:sz w:val="15"/>
          <w:szCs w:val="15"/>
        </w:rPr>
        <w:t xml:space="preserve">-- shipment query</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WHERE 1 = 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sosfv.[Delivery_Detail_Released_Status] &lt;&gt; 'Cancelled'</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AND (</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sov.[Line_Schedule_Ship_Date]  &gt;= '2026-01-01'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sov.[Line_Actual_Shipment_Date] &gt;= '2026-01-01'</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w:t>
      </w:r>
    </w:p>
    <w:p>
      <w:pPr>
        <w:spacing w:after="110"/>
      </w:pPr>
      <w:r>
        <w:rPr>
          <w:sz w:val="8"/>
          <w:szCs w:val="8"/>
        </w:rPr>
        <w:t xml:space="preserve"/>
      </w:r>
    </w:p>
    <w:p>
      <w:pPr>
        <w:shd w:fill="EFF4FC" w:val="clear"/>
        <w:spacing w:after="0" w:before="130"/>
        <w:ind w:left="110" w:right="110"/>
      </w:pPr>
      <w:r>
        <w:rPr>
          <w:rFonts w:ascii="Calibri" w:cs="Calibri" w:eastAsia="Calibri" w:hAnsi="Calibri"/>
          <w:b/>
          <w:bCs/>
          <w:color w:val="274B87"/>
          <w:sz w:val="16"/>
          <w:szCs w:val="16"/>
        </w:rPr>
        <w:t xml:space="preserve">NOW FIXED, AND KEPT AS A GUARD</w:t>
      </w:r>
    </w:p>
    <w:p>
      <w:pPr>
        <w:shd w:fill="EFF4FC" w:val="clear"/>
        <w:spacing w:after="150"/>
        <w:ind w:left="110" w:right="110"/>
      </w:pPr>
      <w:r>
        <w:rPr>
          <w:rFonts w:ascii="Calibri" w:cs="Calibri" w:eastAsia="Calibri" w:hAnsi="Calibri"/>
          <w:sz w:val="20"/>
          <w:szCs w:val="20"/>
        </w:rPr>
        <w:t xml:space="preserve">The v2 sales order query has the brackets in: cancelled lines dropped from 39 to zero and the extract grew from 68,469 to 68,977 rows. dim_SalesOrderLine still carries an Is_Cancelled flag and a Cancelled Lines measure — if either ever reads above zero again, the clause has regressed. The invoice and shipment queries still carry the unparenthesised version.</w:t>
      </w:r>
    </w:p>
    <w:p>
      <w:pPr>
        <w:pStyle w:val="Heading2"/>
        <w:spacing w:after="140" w:before="300"/>
      </w:pPr>
      <w:r>
        <w:t xml:space="preserve">2.2 What the queries get right</w:t>
      </w:r>
    </w:p>
    <w:p>
      <w:pPr>
        <w:spacing w:after="120"/>
      </w:pPr>
      <w:r>
        <w:rPr>
          <w:rFonts w:ascii="Calibri" w:cs="Calibri" w:eastAsia="Calibri" w:hAnsi="Calibri"/>
          <w:sz w:val="21"/>
          <w:szCs w:val="21"/>
        </w:rPr>
        <w:t xml:space="preserve">The key definitions are sound and the model adopts them unchanged. Each was verified against the extract:</w:t>
      </w:r>
    </w:p>
    <w:p>
      <w:pPr>
        <w:spacing w:after="120"/>
      </w:pPr>
      <w:r>
        <w:rPr>
          <w:rFonts w:ascii="Calibri" w:cs="Calibri" w:eastAsia="Calibri" w:hAnsi="Calibri"/>
          <w:sz w:val="6"/>
          <w:szCs w:val="6"/>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1500"/>
        <w:gridCol w:w="4100"/>
        <w:gridCol w:w="4336"/>
      </w:tblGrid>
      <w:tr>
        <w:trPr>
          <w:tblHeader/>
        </w:trPr>
        <w:tc>
          <w:tcPr>
            <w:tcW w:type="dxa" w:w="1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Key</w:t>
            </w:r>
          </w:p>
        </w:tc>
        <w:tc>
          <w:tcPr>
            <w:tcW w:type="dxa" w:w="4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Definition in your SQL</w:t>
            </w:r>
          </w:p>
        </w:tc>
        <w:tc>
          <w:tcPr>
            <w:tcW w:type="dxa" w:w="43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Verified</w:t>
            </w:r>
          </w:p>
        </w:tc>
      </w:tr>
      <w:tr>
        <w:tc>
          <w:tcPr>
            <w:tcW w:type="dxa" w:w="1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LineKey</w:t>
            </w:r>
          </w:p>
        </w:tc>
        <w:tc>
          <w:tcPr>
            <w:tcW w:type="dxa" w:w="4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Data_Source_Region + '-' + Line_Id</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68,977 unique across 68,977 rows, zero nulls. Matches 100% in invoice, 99.995% in shipment.</w:t>
            </w:r>
          </w:p>
        </w:tc>
      </w:tr>
      <w:tr>
        <w:tc>
          <w:tcPr>
            <w:tcW w:type="dxa" w:w="1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ProductKey</w:t>
            </w:r>
          </w:p>
        </w:tc>
        <w:tc>
          <w:tcPr>
            <w:tcW w:type="dxa" w:w="41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Line_Inventory_Item_Id + '.' + Line_Ship_From_Inventory_Org_Id</w:t>
            </w:r>
          </w:p>
        </w:tc>
        <w:tc>
          <w:tcPr>
            <w:tcW w:type="dxa" w:w="4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1,722 distinct. Item made at a different plant is correctly a different product.</w:t>
            </w:r>
          </w:p>
        </w:tc>
      </w:tr>
      <w:tr>
        <w:tc>
          <w:tcPr>
            <w:tcW w:type="dxa" w:w="1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OrgKey</w:t>
            </w:r>
          </w:p>
        </w:tc>
        <w:tc>
          <w:tcPr>
            <w:tcW w:type="dxa" w:w="4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Data_Source_Region + '-' + Line_Ship_From_Inventory_Org_Id</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70 distinct, resolves on 100% of rows.</w:t>
            </w:r>
          </w:p>
        </w:tc>
      </w:tr>
      <w:tr>
        <w:tc>
          <w:tcPr>
            <w:tcW w:type="dxa" w:w="1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DP_Key</w:t>
            </w:r>
          </w:p>
        </w:tc>
        <w:tc>
          <w:tcPr>
            <w:tcW w:type="dxa" w:w="41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Order_Number + '-' + Line_Number + '.' + Shipment_Number</w:t>
            </w:r>
          </w:p>
        </w:tc>
        <w:tc>
          <w:tcPr>
            <w:tcW w:type="dxa" w:w="4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68,469 unique — an alternate line key, not a grouping key.</w:t>
            </w:r>
          </w:p>
        </w:tc>
      </w:tr>
      <w:tr>
        <w:tc>
          <w:tcPr>
            <w:tcW w:type="dxa" w:w="1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TripKey</w:t>
            </w:r>
          </w:p>
        </w:tc>
        <w:tc>
          <w:tcPr>
            <w:tcW w:type="dxa" w:w="4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Delivery_Id + '-' + Trip_Id</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59,948 distinct on the shipment side.</w:t>
            </w:r>
          </w:p>
        </w:tc>
      </w:tr>
    </w:tbl>
    <w:p>
      <w:pPr>
        <w:spacing w:after="120"/>
      </w:pPr>
      <w:r>
        <w:rPr>
          <w:rFonts w:ascii="Calibri" w:cs="Calibri" w:eastAsia="Calibri" w:hAnsi="Calibri"/>
          <w:sz w:val="8"/>
          <w:szCs w:val="8"/>
        </w:rPr>
        <w:t xml:space="preserve"> </w:t>
      </w:r>
    </w:p>
    <w:p>
      <w:pPr>
        <w:spacing w:after="120"/>
      </w:pPr>
      <w:r>
        <w:rPr>
          <w:rFonts w:ascii="Calibri" w:cs="Calibri" w:eastAsia="Calibri" w:hAnsi="Calibri"/>
          <w:b/>
          <w:bCs/>
          <w:sz w:val="21"/>
          <w:szCs w:val="21"/>
        </w:rPr>
        <w:t xml:space="preserve">One note on the joins. </w:t>
      </w:r>
      <w:r>
        <w:rPr>
          <w:rFonts w:ascii="Calibri" w:cs="Calibri" w:eastAsia="Calibri" w:hAnsi="Calibri"/>
          <w:sz w:val="21"/>
          <w:szCs w:val="21"/>
        </w:rPr>
        <w:t xml:space="preserve">All three queries LEFT JOIN to cml.[Sales_Order_V] on Region + Line_Id, which is the same grain as LineKey. That is what makes LineKey a genuinely conformed key rather than a coincidence, and it is why the bridge design in section 3 works as cleanly as it does.</w:t>
      </w:r>
    </w:p>
    <w:p>
      <w:r>
        <w:br w:type="page"/>
      </w:r>
    </w:p>
    <w:p>
      <w:pPr>
        <w:pStyle w:val="Heading1"/>
        <w:spacing w:after="140" w:before="300"/>
      </w:pPr>
      <w:r>
        <w:t xml:space="preserve">3. Model architecture</w:t>
      </w:r>
    </w:p>
    <w:p>
      <w:pPr>
        <w:spacing w:after="120"/>
      </w:pPr>
      <w:r>
        <w:rPr>
          <w:rFonts w:ascii="Calibri" w:cs="Calibri" w:eastAsia="Calibri" w:hAnsi="Calibri"/>
          <w:sz w:val="21"/>
          <w:szCs w:val="21"/>
        </w:rPr>
        <w:t xml:space="preserve">A galaxy schema: three fact tables at three different grains, sharing conformed dimensions, all filtering through a single sales-order-line bridge.</w:t>
      </w:r>
    </w:p>
    <w:p>
      <w:pPr>
        <w:spacing w:after="120" w:before="150"/>
        <w:jc w:val="center"/>
      </w:pPr>
      <w:r>
        <w:drawing>
          <wp:inline distT="0" distB="0" distL="0" distR="0">
            <wp:extent cx="6238875"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38875" cy="2543175"/>
                    </a:xfrm>
                    <a:prstGeom prst="rect">
                      <a:avLst/>
                    </a:prstGeom>
                  </pic:spPr>
                </pic:pic>
              </a:graphicData>
            </a:graphic>
          </wp:inline>
        </w:drawing>
      </w:r>
    </w:p>
    <w:p>
      <w:pPr>
        <w:spacing w:after="200"/>
        <w:jc w:val="center"/>
      </w:pPr>
      <w:r>
        <w:rPr>
          <w:rFonts w:ascii="Calibri" w:cs="Calibri" w:eastAsia="Calibri" w:hAnsi="Calibri"/>
          <w:color w:val="595959"/>
          <w:sz w:val="17"/>
          <w:szCs w:val="17"/>
        </w:rPr>
        <w:t xml:space="preserve">Figure 1 — Blue: conformed dimensions. Orange: the bridge. Green: facts. dim_ExchangeRate is merged in Power Query rather than related, so no fan-out is possible.</w:t>
      </w:r>
    </w:p>
    <w:p>
      <w:pPr>
        <w:pStyle w:val="Heading2"/>
        <w:spacing w:after="140" w:before="300"/>
      </w:pPr>
      <w:r>
        <w:t xml:space="preserve">3.1 Why a bridge, and not a direct join</w:t>
      </w:r>
    </w:p>
    <w:p>
      <w:pPr>
        <w:spacing w:after="120"/>
      </w:pPr>
      <w:r>
        <w:rPr>
          <w:rFonts w:ascii="Calibri" w:cs="Calibri" w:eastAsia="Calibri" w:hAnsi="Calibri"/>
          <w:sz w:val="21"/>
          <w:szCs w:val="21"/>
        </w:rPr>
        <w:t xml:space="preserve">The three facts sit at three different grains. Invoice and Shipment are both many-to-one against the order line, which makes any direct relationship between them many-to-many.</w:t>
      </w:r>
    </w:p>
    <w:p>
      <w:pPr>
        <w:spacing w:after="120"/>
      </w:pPr>
      <w:r>
        <w:rPr>
          <w:rFonts w:ascii="Calibri" w:cs="Calibri" w:eastAsia="Calibri" w:hAnsi="Calibri"/>
          <w:sz w:val="6"/>
          <w:szCs w:val="6"/>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4236"/>
      </w:tblGrid>
      <w:tr>
        <w:trPr>
          <w:tblHeader/>
        </w:trPr>
        <w:tc>
          <w:tcPr>
            <w:tcW w:type="dxa" w:w="2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Table</w:t>
            </w:r>
          </w:p>
        </w:tc>
        <w:tc>
          <w:tcPr>
            <w:tcW w:type="dxa" w:w="1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Rows</w:t>
            </w:r>
          </w:p>
        </w:tc>
        <w:tc>
          <w:tcPr>
            <w:tcW w:type="dxa" w:w="2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Rows per order line</w:t>
            </w:r>
          </w:p>
        </w:tc>
        <w:tc>
          <w:tcPr>
            <w:tcW w:type="dxa" w:w="42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Grain</w:t>
            </w:r>
          </w:p>
        </w:tc>
      </w:tr>
      <w:tr>
        <w:tc>
          <w:tcPr>
            <w:tcW w:type="dxa" w:w="2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fact_SalesOrder</w:t>
            </w:r>
          </w:p>
        </w:tc>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68,469</w:t>
            </w:r>
          </w:p>
        </w:tc>
        <w:tc>
          <w:tcPr>
            <w:tcW w:type="dxa" w:w="20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exactly 1</w:t>
            </w:r>
          </w:p>
        </w:tc>
        <w:tc>
          <w:tcPr>
            <w:tcW w:type="dxa" w:w="42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sales order line</w:t>
            </w:r>
          </w:p>
        </w:tc>
      </w:tr>
      <w:tr>
        <w:tc>
          <w:tcPr>
            <w:tcW w:type="dxa" w:w="2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fact_Invoice</w:t>
            </w:r>
          </w:p>
        </w:tc>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79,576</w:t>
            </w:r>
          </w:p>
        </w:tc>
        <w:tc>
          <w:tcPr>
            <w:tcW w:type="dxa" w:w="20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up to 4</w:t>
            </w:r>
          </w:p>
        </w:tc>
        <w:tc>
          <w:tcPr>
            <w:tcW w:type="dxa" w:w="42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invoice line</w:t>
            </w:r>
          </w:p>
        </w:tc>
      </w:tr>
      <w:tr>
        <w:tc>
          <w:tcPr>
            <w:tcW w:type="dxa" w:w="2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fact_Shipment</w:t>
            </w:r>
          </w:p>
        </w:tc>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84,505</w:t>
            </w:r>
          </w:p>
        </w:tc>
        <w:tc>
          <w:tcPr>
            <w:tcW w:type="dxa" w:w="20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up to 115</w:t>
            </w:r>
          </w:p>
        </w:tc>
        <w:tc>
          <w:tcPr>
            <w:tcW w:type="dxa" w:w="42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delivery detail (LPN) line</w:t>
            </w:r>
          </w:p>
        </w:tc>
      </w:tr>
    </w:tbl>
    <w:p>
      <w:pPr>
        <w:spacing w:after="120"/>
      </w:pPr>
      <w:r>
        <w:rPr>
          <w:rFonts w:ascii="Calibri" w:cs="Calibri" w:eastAsia="Calibri" w:hAnsi="Calibri"/>
          <w:sz w:val="8"/>
          <w:szCs w:val="8"/>
        </w:rPr>
        <w:t xml:space="preserve"> </w:t>
      </w:r>
    </w:p>
    <w:p>
      <w:pPr>
        <w:shd w:fill="FEF1EF" w:val="clear"/>
        <w:spacing w:after="0" w:before="130"/>
        <w:ind w:left="110" w:right="110"/>
      </w:pPr>
      <w:r>
        <w:rPr>
          <w:rFonts w:ascii="Calibri" w:cs="Calibri" w:eastAsia="Calibri" w:hAnsi="Calibri"/>
          <w:b/>
          <w:bCs/>
          <w:color w:val="96261C"/>
          <w:sz w:val="16"/>
          <w:szCs w:val="16"/>
        </w:rPr>
        <w:t xml:space="preserve">THE FAILURE THIS PREVENTS</w:t>
      </w:r>
    </w:p>
    <w:p>
      <w:pPr>
        <w:shd w:fill="FEF1EF" w:val="clear"/>
        <w:spacing w:after="150"/>
        <w:ind w:left="110" w:right="110"/>
      </w:pPr>
      <w:r>
        <w:rPr>
          <w:rFonts w:ascii="Calibri" w:cs="Calibri" w:eastAsia="Calibri" w:hAnsi="Calibri"/>
          <w:sz w:val="20"/>
          <w:szCs w:val="20"/>
        </w:rPr>
        <w:t xml:space="preserve">Join Invoice to Shipment directly and the worst order line produces 4 × 115 = 460 rows where 119 belong. Revenue and tonnage inflate, the totals still look plausible, and nothing errors. Routing both through the bridge means a slicer filters the bridge once and propagates to each fact independently — every fact aggregates at its own grain and the results sit side by side in one visual without ever touching each other.</w:t>
      </w:r>
    </w:p>
    <w:p>
      <w:pPr>
        <w:pStyle w:val="Heading2"/>
        <w:spacing w:after="140" w:before="300"/>
      </w:pPr>
      <w:r>
        <w:t xml:space="preserve">3.2 Relationships</w:t>
      </w:r>
    </w:p>
    <w:p>
      <w:pPr>
        <w:spacing w:after="100"/>
      </w:pPr>
      <w:r>
        <w:rPr>
          <w:rFonts w:ascii="Calibri" w:cs="Calibri" w:eastAsia="Calibri" w:hAnsi="Calibri"/>
          <w:sz w:val="21"/>
          <w:szCs w:val="21"/>
        </w:rPr>
        <w:t xml:space="preserve">Twelve relationships. Every cross-filter direction is Single — bidirectional filtering is not used anywhere in this model.</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100"/>
        <w:gridCol w:w="1800"/>
        <w:gridCol w:w="1236"/>
      </w:tblGrid>
      <w:tr>
        <w:trPr>
          <w:tblHeader/>
        </w:trPr>
        <w:tc>
          <w:tcPr>
            <w:tcW w:type="dxa" w:w="2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From (1)</w:t>
            </w:r>
          </w:p>
        </w:tc>
        <w:tc>
          <w:tcPr>
            <w:tcW w:type="dxa" w:w="2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To (*)</w:t>
            </w:r>
          </w:p>
        </w:tc>
        <w:tc>
          <w:tcPr>
            <w:tcW w:type="dxa" w:w="2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Key</w:t>
            </w:r>
          </w:p>
        </w:tc>
        <w:tc>
          <w:tcPr>
            <w:tcW w:type="dxa" w:w="18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Cardinality</w:t>
            </w:r>
          </w:p>
        </w:tc>
        <w:tc>
          <w:tcPr>
            <w:tcW w:type="dxa" w:w="12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Active</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fact_SalesOrder</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LineKey</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one</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fact_Invoice</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LineKey</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fact_Shipment</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LineKey</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dim_Date</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Ordered_Date</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dim_Date</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fact_Invoice</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Invoice_Date</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color w:val="C55A11"/>
                <w:sz w:val="17"/>
                <w:szCs w:val="17"/>
              </w:rPr>
              <w:t xml:space="preserve">Inactive</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dim_Date</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fact_Shipment</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Delivery_Confirm_Date</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color w:val="C55A11"/>
                <w:sz w:val="17"/>
                <w:szCs w:val="17"/>
              </w:rPr>
              <w:t xml:space="preserve">Inactive</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dim_Customer</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CustomerKey</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dim_Product</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ProductKey</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dim_Organization</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OrgKey</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dim_Currency</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CurrencyKey</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dim_ReturnReason</w:t>
            </w:r>
          </w:p>
        </w:tc>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dim_SalesOrderLine</w:t>
            </w:r>
          </w:p>
        </w:tc>
        <w:tc>
          <w:tcPr>
            <w:tcW w:type="dxa" w:w="21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Return_Reason</w:t>
            </w:r>
          </w:p>
        </w:tc>
        <w:tc>
          <w:tcPr>
            <w:tcW w:type="dxa" w:w="18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r>
        <w:tc>
          <w:tcPr>
            <w:tcW w:type="dxa" w:w="25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dim_Carrier</w:t>
            </w:r>
          </w:p>
        </w:tc>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fact_Shipment</w:t>
            </w:r>
          </w:p>
        </w:tc>
        <w:tc>
          <w:tcPr>
            <w:tcW w:type="dxa" w:w="21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CarrierKey</w:t>
            </w:r>
          </w:p>
        </w:tc>
        <w:tc>
          <w:tcPr>
            <w:tcW w:type="dxa" w:w="18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One to many</w:t>
            </w:r>
          </w:p>
        </w:tc>
        <w:tc>
          <w:tcPr>
            <w:tcW w:type="dxa" w:w="1236"/>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Yes</w:t>
            </w:r>
          </w:p>
        </w:tc>
      </w:tr>
    </w:tbl>
    <w:p>
      <w:pPr>
        <w:spacing w:after="120"/>
      </w:pPr>
      <w:r>
        <w:rPr>
          <w:rFonts w:ascii="Calibri" w:cs="Calibri" w:eastAsia="Calibri" w:hAnsi="Calibri"/>
          <w:sz w:val="8"/>
          <w:szCs w:val="8"/>
        </w:rPr>
        <w:t xml:space="preserve"> </w:t>
      </w:r>
    </w:p>
    <w:p>
      <w:pPr>
        <w:spacing w:after="120"/>
      </w:pPr>
      <w:r>
        <w:rPr>
          <w:rFonts w:ascii="Calibri" w:cs="Calibri" w:eastAsia="Calibri" w:hAnsi="Calibri"/>
          <w:b/>
          <w:bCs/>
          <w:sz w:val="21"/>
          <w:szCs w:val="21"/>
        </w:rPr>
        <w:t xml:space="preserve">On the inactive date relationships. </w:t>
      </w:r>
      <w:r>
        <w:rPr>
          <w:rFonts w:ascii="Calibri" w:cs="Calibri" w:eastAsia="Calibri" w:hAnsi="Calibri"/>
          <w:sz w:val="21"/>
          <w:szCs w:val="21"/>
        </w:rPr>
        <w:t xml:space="preserve">dim_Date is anchored to the order date so the whole model shares one timeline. Invoice date and delivery confirm date are wired inactive and activated inside specific measures with USERELATIONSHIP. That is what lets "revenue by invoice month" coexist with "orders by order month" without either breaking the other. It matters more than it sounds: the credit-rate spike described in section 7 is </w:t>
      </w:r>
      <w:r>
        <w:rPr>
          <w:rFonts w:ascii="Calibri" w:cs="Calibri" w:eastAsia="Calibri" w:hAnsi="Calibri"/>
          <w:i/>
          <w:iCs/>
          <w:sz w:val="21"/>
          <w:szCs w:val="21"/>
        </w:rPr>
        <w:t xml:space="preserve">invisible</w:t>
      </w:r>
      <w:r>
        <w:rPr>
          <w:rFonts w:ascii="Calibri" w:cs="Calibri" w:eastAsia="Calibri" w:hAnsi="Calibri"/>
          <w:sz w:val="21"/>
          <w:szCs w:val="21"/>
        </w:rPr>
        <w:t xml:space="preserve"> on the order-date timeline.</w:t>
      </w:r>
    </w:p>
    <w:p>
      <w:pPr>
        <w:spacing w:after="120"/>
      </w:pPr>
      <w:r>
        <w:rPr>
          <w:rFonts w:ascii="Calibri" w:cs="Calibri" w:eastAsia="Calibri" w:hAnsi="Calibri"/>
          <w:sz w:val="8"/>
          <w:szCs w:val="8"/>
        </w:rPr>
        <w:t xml:space="preserve"> </w:t>
      </w:r>
    </w:p>
    <w:p>
      <w:pPr>
        <w:shd w:fill="FFF9EE" w:val="clear"/>
        <w:spacing w:after="0" w:before="130"/>
        <w:ind w:left="110" w:right="110"/>
      </w:pPr>
      <w:r>
        <w:rPr>
          <w:rFonts w:ascii="Calibri" w:cs="Calibri" w:eastAsia="Calibri" w:hAnsi="Calibri"/>
          <w:b/>
          <w:bCs/>
          <w:color w:val="96601A"/>
          <w:sz w:val="16"/>
          <w:szCs w:val="16"/>
        </w:rPr>
        <w:t xml:space="preserve">BEFORE YOUR FIRST REFRESH</w:t>
      </w:r>
    </w:p>
    <w:p>
      <w:pPr>
        <w:shd w:fill="FFF9EE" w:val="clear"/>
        <w:spacing w:after="150"/>
        <w:ind w:left="110" w:right="110"/>
      </w:pPr>
      <w:r>
        <w:rPr>
          <w:rFonts w:ascii="Calibri" w:cs="Calibri" w:eastAsia="Calibri" w:hAnsi="Calibri"/>
          <w:sz w:val="20"/>
          <w:szCs w:val="20"/>
        </w:rPr>
        <w:t xml:space="preserve">Turn off File → Options → Current File → Data Load → Autodetect new relationships. Left on, Power BI will create a direct Invoice-to-Shipment relationship for you, and you will spend a day wondering why revenue is inflated.</w:t>
      </w:r>
    </w:p>
    <w:p>
      <w:r>
        <w:br w:type="page"/>
      </w:r>
    </w:p>
    <w:p>
      <w:pPr>
        <w:pStyle w:val="Heading1"/>
        <w:spacing w:after="140" w:before="300"/>
      </w:pPr>
      <w:r>
        <w:t xml:space="preserve">4. Table design</w:t>
      </w:r>
    </w:p>
    <w:p>
      <w:pPr>
        <w:pStyle w:val="Heading2"/>
        <w:spacing w:after="140" w:before="300"/>
      </w:pPr>
      <w:r>
        <w:t xml:space="preserve">4.1 dim_SalesOrderLine — the bridge</w:t>
      </w:r>
    </w:p>
    <w:p>
      <w:pPr>
        <w:spacing w:after="120"/>
      </w:pPr>
      <w:r>
        <w:rPr>
          <w:rFonts w:ascii="Calibri" w:cs="Calibri" w:eastAsia="Calibri" w:hAnsi="Calibri"/>
          <w:sz w:val="21"/>
          <w:szCs w:val="21"/>
        </w:rPr>
        <w:t xml:space="preserve">Built from f_SalesOrder, which is already unique on LineKey. This is the spine of the model: every descriptive attribute and every dimension key lives here, so the facts can stay narrow.</w:t>
      </w:r>
    </w:p>
    <w:p>
      <w:pPr>
        <w:pStyle w:val="ListParagraph"/>
        <w:numPr>
          <w:ilvl w:val="0"/>
          <w:numId w:val="2"/>
        </w:numPr>
        <w:spacing w:after="70"/>
      </w:pPr>
      <w:r>
        <w:rPr>
          <w:rFonts w:ascii="Calibri" w:cs="Calibri" w:eastAsia="Calibri" w:hAnsi="Calibri"/>
          <w:sz w:val="21"/>
          <w:szCs w:val="21"/>
        </w:rPr>
        <w:t xml:space="preserve">Key: LineKey (text, unique, no blanks)</w:t>
      </w:r>
    </w:p>
    <w:p>
      <w:pPr>
        <w:pStyle w:val="ListParagraph"/>
        <w:numPr>
          <w:ilvl w:val="0"/>
          <w:numId w:val="2"/>
        </w:numPr>
        <w:spacing w:after="70"/>
      </w:pPr>
      <w:r>
        <w:rPr>
          <w:rFonts w:ascii="Calibri" w:cs="Calibri" w:eastAsia="Calibri" w:hAnsi="Calibri"/>
          <w:sz w:val="21"/>
          <w:szCs w:val="21"/>
        </w:rPr>
        <w:t xml:space="preserve">Dimension keys out: CustomerKey, ProductKey, OrgKey, CurrencyKey, Return_Reason</w:t>
      </w:r>
    </w:p>
    <w:p>
      <w:pPr>
        <w:pStyle w:val="ListParagraph"/>
        <w:numPr>
          <w:ilvl w:val="0"/>
          <w:numId w:val="2"/>
        </w:numPr>
        <w:spacing w:after="70"/>
      </w:pPr>
      <w:r>
        <w:rPr>
          <w:rFonts w:ascii="Calibri" w:cs="Calibri" w:eastAsia="Calibri" w:hAnsi="Calibri"/>
          <w:sz w:val="21"/>
          <w:szCs w:val="21"/>
        </w:rPr>
        <w:t xml:space="preserve">Descriptive: Order_Number, Order_Status, Line_Status, Line_Category, Order_Type_Name, Price_List, Customer_PO, Sales_Rep, CSR, Sales_Type, Incoterm, Transport_Mode</w:t>
      </w:r>
    </w:p>
    <w:p>
      <w:pPr>
        <w:pStyle w:val="ListParagraph"/>
        <w:numPr>
          <w:ilvl w:val="0"/>
          <w:numId w:val="2"/>
        </w:numPr>
        <w:spacing w:after="70"/>
      </w:pPr>
      <w:r>
        <w:rPr>
          <w:rFonts w:ascii="Calibri" w:cs="Calibri" w:eastAsia="Calibri" w:hAnsi="Calibri"/>
          <w:sz w:val="21"/>
          <w:szCs w:val="21"/>
        </w:rPr>
        <w:t xml:space="preserve">Milestone dates: Ordered_Date, Schedule_Ship_Date, Schedule_Arrival_Date, Promise_Date, Request_Date, Actual_Shipment_Date, Fulfillment_Date</w:t>
      </w:r>
    </w:p>
    <w:p>
      <w:pPr>
        <w:pStyle w:val="ListParagraph"/>
        <w:numPr>
          <w:ilvl w:val="0"/>
          <w:numId w:val="2"/>
        </w:numPr>
        <w:spacing w:after="70"/>
      </w:pPr>
      <w:r>
        <w:rPr>
          <w:rFonts w:ascii="Calibri" w:cs="Calibri" w:eastAsia="Calibri" w:hAnsi="Calibri"/>
          <w:sz w:val="21"/>
          <w:szCs w:val="21"/>
        </w:rPr>
        <w:t xml:space="preserve">Flags: Is_Return, Is_Open, Is_Cancelled, Is_Fulfilled</w:t>
      </w:r>
    </w:p>
    <w:p>
      <w:pPr>
        <w:pStyle w:val="ListParagraph"/>
        <w:numPr>
          <w:ilvl w:val="0"/>
          <w:numId w:val="2"/>
        </w:numPr>
        <w:spacing w:after="70"/>
      </w:pPr>
      <w:r>
        <w:rPr>
          <w:rFonts w:ascii="Calibri" w:cs="Calibri" w:eastAsia="Calibri" w:hAnsi="Calibri"/>
          <w:sz w:val="21"/>
          <w:szCs w:val="21"/>
        </w:rPr>
        <w:t xml:space="preserve">Calculated columns: Days_Order_To_Ship, Ship_Delay_Days, Delay_Bucket, Cycle_Bucket</w:t>
      </w:r>
    </w:p>
    <w:p>
      <w:pPr>
        <w:spacing w:after="120"/>
      </w:pPr>
      <w:r>
        <w:rPr>
          <w:rFonts w:ascii="Calibri" w:cs="Calibri" w:eastAsia="Calibri" w:hAnsi="Calibri"/>
          <w:sz w:val="10"/>
          <w:szCs w:val="10"/>
        </w:rPr>
        <w:t xml:space="preserve"> </w:t>
      </w:r>
    </w:p>
    <w:p>
      <w:pPr>
        <w:pStyle w:val="Heading2"/>
        <w:spacing w:after="140" w:before="300"/>
      </w:pPr>
      <w:r>
        <w:t xml:space="preserve">4.2 The three facts</w:t>
      </w:r>
    </w:p>
    <w:p>
      <w:pPr>
        <w:spacing w:after="100"/>
      </w:pPr>
      <w:r>
        <w:rPr>
          <w:rFonts w:ascii="Calibri" w:cs="Calibri" w:eastAsia="Calibri" w:hAnsi="Calibri"/>
          <w:sz w:val="21"/>
          <w:szCs w:val="21"/>
        </w:rPr>
        <w:t xml:space="preserve">Each fact keeps only its keys and its measures. Carrying descriptive columns twice doubles memory for nothing.</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536"/>
      </w:tblGrid>
      <w:tr>
        <w:trPr>
          <w:tblHeader/>
        </w:trPr>
        <w:tc>
          <w:tcPr>
            <w:tcW w:type="dxa" w:w="2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Fact</w:t>
            </w:r>
          </w:p>
        </w:tc>
        <w:tc>
          <w:tcPr>
            <w:tcW w:type="dxa" w:w="4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Keeps</w:t>
            </w:r>
          </w:p>
        </w:tc>
        <w:tc>
          <w:tcPr>
            <w:tcW w:type="dxa" w:w="35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Notes</w:t>
            </w:r>
          </w:p>
        </w:tc>
      </w:tr>
      <w:tr>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fact_SalesOrder</w:t>
            </w:r>
          </w:p>
        </w:tc>
        <w:tc>
          <w:tcPr>
            <w:tcW w:type="dxa" w:w="4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Signed quantities, USD and local prices, FX rate and quality flag</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Ordered_MT_Signed and Shipped_MT_Signed are the only volume columns that should ever be summed</w:t>
            </w:r>
          </w:p>
        </w:tc>
      </w:tr>
      <w:tr>
        <w:tc>
          <w:tcPr>
            <w:tcW w:type="dxa" w:w="23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fact_Invoice</w:t>
            </w:r>
          </w:p>
        </w:tc>
        <w:tc>
          <w:tcPr>
            <w:tcW w:type="dxa" w:w="41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Revenue, invoiced and credited quantity, seven price-bridge components, credit memo flag</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Unique on (LineKey, Invoice_Number, Line_Number) — no deduplication needed</w:t>
            </w:r>
          </w:p>
        </w:tc>
      </w:tr>
      <w:tr>
        <w:tc>
          <w:tcPr>
            <w:tcW w:type="dxa" w:w="23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fact_Shipment</w:t>
            </w:r>
          </w:p>
        </w:tc>
        <w:tc>
          <w:tcPr>
            <w:tcW w:type="dxa" w:w="4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Shipped, requested, picked and cancelled MT, weights, tolerances, delivery and trip dates</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283 source columns reduced to 30 — see section 4.4</w:t>
            </w:r>
          </w:p>
        </w:tc>
      </w:tr>
    </w:tbl>
    <w:p>
      <w:pPr>
        <w:spacing w:after="120"/>
      </w:pPr>
      <w:r>
        <w:rPr>
          <w:rFonts w:ascii="Calibri" w:cs="Calibri" w:eastAsia="Calibri" w:hAnsi="Calibri"/>
          <w:sz w:val="10"/>
          <w:szCs w:val="10"/>
        </w:rPr>
        <w:t xml:space="preserve"> </w:t>
      </w:r>
    </w:p>
    <w:p>
      <w:pPr>
        <w:pStyle w:val="Heading2"/>
        <w:spacing w:after="140" w:before="300"/>
      </w:pPr>
      <w:r>
        <w:t xml:space="preserve">4.3 Dimensions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800"/>
        <w:gridCol w:w="1900"/>
        <w:gridCol w:w="3336"/>
      </w:tblGrid>
      <w:tr>
        <w:trPr>
          <w:tblHeader/>
        </w:trPr>
        <w:tc>
          <w:tcPr>
            <w:tcW w:type="dxa" w:w="2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Dimension</w:t>
            </w:r>
          </w:p>
        </w:tc>
        <w:tc>
          <w:tcPr>
            <w:tcW w:type="dxa" w:w="1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Key</w:t>
            </w:r>
          </w:p>
        </w:tc>
        <w:tc>
          <w:tcPr>
            <w:tcW w:type="dxa" w:w="8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Rows</w:t>
            </w:r>
          </w:p>
        </w:tc>
        <w:tc>
          <w:tcPr>
            <w:tcW w:type="dxa" w:w="1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Source</w:t>
            </w:r>
          </w:p>
        </w:tc>
        <w:tc>
          <w:tcPr>
            <w:tcW w:type="dxa" w:w="33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Note</w:t>
            </w:r>
          </w:p>
        </w:tc>
      </w:tr>
      <w:tr>
        <w:tc>
          <w:tcPr>
            <w:tcW w:type="dxa" w:w="2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dim_Date</w:t>
            </w:r>
          </w:p>
        </w:tc>
        <w:tc>
          <w:tcPr>
            <w:tcW w:type="dxa" w:w="19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Date</w:t>
            </w:r>
          </w:p>
        </w:tc>
        <w:tc>
          <w:tcPr>
            <w:tcW w:type="dxa" w:w="8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~1,095</w:t>
            </w:r>
          </w:p>
        </w:tc>
        <w:tc>
          <w:tcPr>
            <w:tcW w:type="dxa" w:w="1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Generated</w:t>
            </w:r>
          </w:p>
        </w:tc>
        <w:tc>
          <w:tcPr>
            <w:tcW w:type="dxa" w:w="3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Marked as date table. Is_Complete_Month excludes partial months from trends.</w:t>
            </w:r>
          </w:p>
        </w:tc>
      </w:tr>
      <w:tr>
        <w:tc>
          <w:tcPr>
            <w:tcW w:type="dxa" w:w="2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dim_Customer</w:t>
            </w:r>
          </w:p>
        </w:tc>
        <w:tc>
          <w:tcPr>
            <w:tcW w:type="dxa" w:w="19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CustomerKey</w:t>
            </w:r>
          </w:p>
        </w:tc>
        <w:tc>
          <w:tcPr>
            <w:tcW w:type="dxa" w:w="8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750</w:t>
            </w:r>
          </w:p>
        </w:tc>
        <w:tc>
          <w:tcPr>
            <w:tcW w:type="dxa" w:w="19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f_SalesOrder</w:t>
            </w:r>
          </w:p>
        </w:tc>
        <w:tc>
          <w:tcPr>
            <w:tcW w:type="dxa" w:w="3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Same 749-value domain across all three facts, 100% overlap</w:t>
            </w:r>
          </w:p>
        </w:tc>
      </w:tr>
      <w:tr>
        <w:tc>
          <w:tcPr>
            <w:tcW w:type="dxa" w:w="2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dim_Product</w:t>
            </w:r>
          </w:p>
        </w:tc>
        <w:tc>
          <w:tcPr>
            <w:tcW w:type="dxa" w:w="19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ProductKey</w:t>
            </w:r>
          </w:p>
        </w:tc>
        <w:tc>
          <w:tcPr>
            <w:tcW w:type="dxa" w:w="8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1,727</w:t>
            </w:r>
          </w:p>
        </w:tc>
        <w:tc>
          <w:tcPr>
            <w:tcW w:type="dxa" w:w="1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f_SalesOrder</w:t>
            </w:r>
          </w:p>
        </w:tc>
        <w:tc>
          <w:tcPr>
            <w:tcW w:type="dxa" w:w="3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Item × plant, per your SQL definition</w:t>
            </w:r>
          </w:p>
        </w:tc>
      </w:tr>
      <w:tr>
        <w:tc>
          <w:tcPr>
            <w:tcW w:type="dxa" w:w="2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dim_Organization</w:t>
            </w:r>
          </w:p>
        </w:tc>
        <w:tc>
          <w:tcPr>
            <w:tcW w:type="dxa" w:w="19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OrgKey</w:t>
            </w:r>
          </w:p>
        </w:tc>
        <w:tc>
          <w:tcPr>
            <w:tcW w:type="dxa" w:w="8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71</w:t>
            </w:r>
          </w:p>
        </w:tc>
        <w:tc>
          <w:tcPr>
            <w:tcW w:type="dxa" w:w="19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f_SalesOrder</w:t>
            </w:r>
          </w:p>
        </w:tc>
        <w:tc>
          <w:tcPr>
            <w:tcW w:type="dxa" w:w="3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Region × inventory org</w:t>
            </w:r>
          </w:p>
        </w:tc>
      </w:tr>
      <w:tr>
        <w:tc>
          <w:tcPr>
            <w:tcW w:type="dxa" w:w="2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dim_Carrier</w:t>
            </w:r>
          </w:p>
        </w:tc>
        <w:tc>
          <w:tcPr>
            <w:tcW w:type="dxa" w:w="19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CarrierKey</w:t>
            </w:r>
          </w:p>
        </w:tc>
        <w:tc>
          <w:tcPr>
            <w:tcW w:type="dxa" w:w="8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174</w:t>
            </w:r>
          </w:p>
        </w:tc>
        <w:tc>
          <w:tcPr>
            <w:tcW w:type="dxa" w:w="1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f_Shipment</w:t>
            </w:r>
          </w:p>
        </w:tc>
        <w:tc>
          <w:tcPr>
            <w:tcW w:type="dxa" w:w="3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23.5% of deliveries have no carrier — they map to Unknown</w:t>
            </w:r>
          </w:p>
        </w:tc>
      </w:tr>
      <w:tr>
        <w:tc>
          <w:tcPr>
            <w:tcW w:type="dxa" w:w="2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dim_ReturnReason</w:t>
            </w:r>
          </w:p>
        </w:tc>
        <w:tc>
          <w:tcPr>
            <w:tcW w:type="dxa" w:w="19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Return_Reason</w:t>
            </w:r>
          </w:p>
        </w:tc>
        <w:tc>
          <w:tcPr>
            <w:tcW w:type="dxa" w:w="8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14</w:t>
            </w:r>
          </w:p>
        </w:tc>
        <w:tc>
          <w:tcPr>
            <w:tcW w:type="dxa" w:w="19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f_SalesOrder</w:t>
            </w:r>
          </w:p>
        </w:tc>
        <w:tc>
          <w:tcPr>
            <w:tcW w:type="dxa" w:w="3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Cleaned of non-breaking spaces; carries Reason_Group</w:t>
            </w:r>
          </w:p>
        </w:tc>
      </w:tr>
      <w:tr>
        <w:tc>
          <w:tcPr>
            <w:tcW w:type="dxa" w:w="2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dim_Currency</w:t>
            </w:r>
          </w:p>
        </w:tc>
        <w:tc>
          <w:tcPr>
            <w:tcW w:type="dxa" w:w="19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CurrencyKey</w:t>
            </w:r>
          </w:p>
        </w:tc>
        <w:tc>
          <w:tcPr>
            <w:tcW w:type="dxa" w:w="8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1,001</w:t>
            </w:r>
          </w:p>
        </w:tc>
        <w:tc>
          <w:tcPr>
            <w:tcW w:type="dxa" w:w="1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d_currency.xlsx</w:t>
            </w:r>
          </w:p>
        </w:tc>
        <w:tc>
          <w:tcPr>
            <w:tcW w:type="dxa" w:w="3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Composite key — see section 5</w:t>
            </w:r>
          </w:p>
        </w:tc>
      </w:tr>
      <w:tr>
        <w:tc>
          <w:tcPr>
            <w:tcW w:type="dxa" w:w="2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dim_ExchangeRate</w:t>
            </w:r>
          </w:p>
        </w:tc>
        <w:tc>
          <w:tcPr>
            <w:tcW w:type="dxa" w:w="19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CurrencyKey + Rate_Date</w:t>
            </w:r>
          </w:p>
        </w:tc>
        <w:tc>
          <w:tcPr>
            <w:tcW w:type="dxa" w:w="8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daily spine</w:t>
            </w:r>
          </w:p>
        </w:tc>
        <w:tc>
          <w:tcPr>
            <w:tcW w:type="dxa" w:w="19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d_exchange_rate.xlsx</w:t>
            </w:r>
          </w:p>
        </w:tc>
        <w:tc>
          <w:tcPr>
            <w:tcW w:type="dxa" w:w="3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Corporate rates only — see section 5.2</w:t>
            </w:r>
          </w:p>
        </w:tc>
      </w:tr>
    </w:tbl>
    <w:p>
      <w:pPr>
        <w:spacing w:after="180"/>
      </w:pPr>
      <w:r>
        <w:rPr>
          <w:rFonts w:ascii="Calibri" w:cs="Calibri" w:eastAsia="Calibri" w:hAnsi="Calibri"/>
          <w:i/>
          <w:iCs/>
          <w:color w:val="595959"/>
          <w:sz w:val="21"/>
          <w:szCs w:val="21"/>
        </w:rPr>
        <w:t xml:space="preserve">Every dimension carries an Unknown member keyed -1 so orphan fact rows stay visible instead of silently disappearing from a join.</w:t>
      </w:r>
    </w:p>
    <w:p>
      <w:pPr>
        <w:pStyle w:val="Heading2"/>
        <w:spacing w:after="140" w:before="300"/>
      </w:pPr>
      <w:r>
        <w:t xml:space="preserve">4.4 f_Shipment column reduction</w:t>
      </w:r>
    </w:p>
    <w:p>
      <w:pPr>
        <w:spacing w:after="100"/>
      </w:pPr>
      <w:r>
        <w:rPr>
          <w:rFonts w:ascii="Calibri" w:cs="Calibri" w:eastAsia="Calibri" w:hAnsi="Calibri"/>
          <w:sz w:val="21"/>
          <w:szCs w:val="21"/>
        </w:rPr>
        <w:t xml:space="preserve">The shipment extract is 283 columns wide. All 283 were assessed against the 84,505 clean rows: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6136"/>
      </w:tblGrid>
      <w:tr>
        <w:trPr>
          <w:tblHeader/>
        </w:trPr>
        <w:tc>
          <w:tcPr>
            <w:tcW w:type="dxa" w:w="27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Verdict</w:t>
            </w:r>
          </w:p>
        </w:tc>
        <w:tc>
          <w:tcPr>
            <w:tcW w:type="dxa" w:w="1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Columns</w:t>
            </w:r>
          </w:p>
        </w:tc>
        <w:tc>
          <w:tcPr>
            <w:tcW w:type="dxa" w:w="61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Detail</w:t>
            </w:r>
          </w:p>
        </w:tc>
      </w:tr>
      <w:tr>
        <w:tc>
          <w:tcPr>
            <w:tcW w:type="dxa" w:w="27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Keep on the fact</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46</w:t>
            </w:r>
          </w:p>
        </w:tc>
        <w:tc>
          <w:tcPr>
            <w:tcW w:type="dxa" w:w="61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30 loaded now, 16 available if the questions arise</w:t>
            </w:r>
          </w:p>
        </w:tc>
      </w:tr>
      <w:tr>
        <w:tc>
          <w:tcPr>
            <w:tcW w:type="dxa" w:w="27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Move to a dimension</w:t>
            </w:r>
          </w:p>
        </w:tc>
        <w:tc>
          <w:tcPr>
            <w:tcW w:type="dxa" w:w="11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35</w:t>
            </w:r>
          </w:p>
        </w:tc>
        <w:tc>
          <w:tcPr>
            <w:tcW w:type="dxa" w:w="61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Customer, product, geography and carrier attributes — useful, but they should not repeat on 84,505 rows</w:t>
            </w:r>
          </w:p>
        </w:tc>
      </w:tr>
      <w:tr>
        <w:tc>
          <w:tcPr>
            <w:tcW w:type="dxa" w:w="27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Drop — redundant</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70</w:t>
            </w:r>
          </w:p>
        </w:tc>
        <w:tc>
          <w:tcPr>
            <w:tcW w:type="dxa" w:w="61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Non-MT twins, _Qty2 secondary units, status code/description pairs, Trip_Carrier_* duplicating Delivery_Carrier_*</w:t>
            </w:r>
          </w:p>
        </w:tc>
      </w:tr>
      <w:tr>
        <w:tc>
          <w:tcPr>
            <w:tcW w:type="dxa" w:w="27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Drop — no analytical value</w:t>
            </w:r>
          </w:p>
        </w:tc>
        <w:tc>
          <w:tcPr>
            <w:tcW w:type="dxa" w:w="11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62</w:t>
            </w:r>
          </w:p>
        </w:tc>
        <w:tc>
          <w:tcPr>
            <w:tcW w:type="dxa" w:w="61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38 audit columns, 14 flexfields, 10 shipping paperwork fields</w:t>
            </w:r>
          </w:p>
        </w:tc>
      </w:tr>
      <w:tr>
        <w:tc>
          <w:tcPr>
            <w:tcW w:type="dxa" w:w="27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Drop — empty or unusable</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60</w:t>
            </w:r>
          </w:p>
        </w:tc>
        <w:tc>
          <w:tcPr>
            <w:tcW w:type="dxa" w:w="61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21 completely empty, 11 populated but every value zero, 27 under 1% populated, 1 constant</w:t>
            </w:r>
          </w:p>
        </w:tc>
      </w:tr>
      <w:tr>
        <w:tc>
          <w:tcPr>
            <w:tcW w:type="dxa" w:w="27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Drop — file defect</w:t>
            </w:r>
          </w:p>
        </w:tc>
        <w:tc>
          <w:tcPr>
            <w:tcW w:type="dxa" w:w="11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10</w:t>
            </w:r>
          </w:p>
        </w:tc>
        <w:tc>
          <w:tcPr>
            <w:tcW w:type="dxa" w:w="61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Unnamed: 273–282, artefacts of the malformed rows</w:t>
            </w:r>
          </w:p>
        </w:tc>
      </w:tr>
    </w:tbl>
    <w:p>
      <w:pPr>
        <w:spacing w:after="120"/>
      </w:pPr>
      <w:r>
        <w:rPr>
          <w:rFonts w:ascii="Calibri" w:cs="Calibri" w:eastAsia="Calibri" w:hAnsi="Calibri"/>
          <w:sz w:val="8"/>
          <w:szCs w:val="8"/>
        </w:rPr>
        <w:t xml:space="preserve"> </w:t>
      </w:r>
    </w:p>
    <w:p>
      <w:pPr>
        <w:shd w:fill="FEF1EF" w:val="clear"/>
        <w:spacing w:after="0" w:before="130"/>
        <w:ind w:left="110" w:right="110"/>
      </w:pPr>
      <w:r>
        <w:rPr>
          <w:rFonts w:ascii="Calibri" w:cs="Calibri" w:eastAsia="Calibri" w:hAnsi="Calibri"/>
          <w:b/>
          <w:bCs/>
          <w:color w:val="96261C"/>
          <w:sz w:val="16"/>
          <w:szCs w:val="16"/>
        </w:rPr>
        <w:t xml:space="preserve">THE 11 ALL-ZERO COLUMNS ARE THE TRAP</w:t>
      </w:r>
    </w:p>
    <w:p>
      <w:pPr>
        <w:shd w:fill="FEF1EF" w:val="clear"/>
        <w:spacing w:after="150"/>
        <w:ind w:left="110" w:right="110"/>
      </w:pPr>
      <w:r>
        <w:rPr>
          <w:rFonts w:ascii="Calibri" w:cs="Calibri" w:eastAsia="Calibri" w:hAnsi="Calibri"/>
          <w:sz w:val="20"/>
          <w:szCs w:val="20"/>
        </w:rPr>
        <w:t xml:space="preserve">Delivered_Qty_MT, Received_Qty_MT and Scheduled_Qty_MT are populated on 78% of rows and every single value is zero. They look real in a column list and will silently return zero in any measure built on them. That is why delivery-confirmation KPIs are on the blocked list rather than in the catalogue.</w:t>
      </w:r>
    </w:p>
    <w:p>
      <w:r>
        <w:br w:type="page"/>
      </w:r>
    </w:p>
    <w:p>
      <w:pPr>
        <w:pStyle w:val="Heading1"/>
        <w:spacing w:after="140" w:before="300"/>
      </w:pPr>
      <w:r>
        <w:t xml:space="preserve">5. Currency handling</w:t>
      </w:r>
    </w:p>
    <w:p>
      <w:pPr>
        <w:spacing w:after="120"/>
      </w:pPr>
      <w:r>
        <w:rPr>
          <w:rFonts w:ascii="Calibri" w:cs="Calibri" w:eastAsia="Calibri" w:hAnsi="Calibri"/>
          <w:sz w:val="21"/>
          <w:szCs w:val="21"/>
        </w:rPr>
        <w:t xml:space="preserve">Nine transaction currencies across four regions, converted to USD from d_exchange_rate.xlsx. This is the part of the model most likely to produce a confidently wrong number, so it is specified in detail.</w:t>
      </w:r>
    </w:p>
    <w:p>
      <w:pPr>
        <w:pStyle w:val="Heading2"/>
        <w:spacing w:after="140" w:before="300"/>
      </w:pPr>
      <w:r>
        <w:t xml:space="preserve">5.1 dim_Currency has a composite key</w:t>
      </w:r>
    </w:p>
    <w:p>
      <w:pPr>
        <w:spacing w:after="120"/>
      </w:pPr>
      <w:r>
        <w:rPr>
          <w:rFonts w:ascii="Calibri" w:cs="Calibri" w:eastAsia="Calibri" w:hAnsi="Calibri"/>
          <w:b/>
          <w:bCs/>
          <w:sz w:val="21"/>
          <w:szCs w:val="21"/>
        </w:rPr>
        <w:t xml:space="preserve">d_currency.xlsx is grained Currency_Code × Region, not Currency_Code.</w:t>
      </w:r>
      <w:r>
        <w:rPr>
          <w:rFonts w:ascii="Calibri" w:cs="Calibri" w:eastAsia="Calibri" w:hAnsi="Calibri"/>
          <w:sz w:val="21"/>
          <w:szCs w:val="21"/>
        </w:rPr>
        <w:t xml:space="preserve"> 1,000 rows, 308 codes, 4 regions. 230 codes appear in all four. The description even varies by region — USD reads "US dollar" in NAM and "US Dollar" in EUR.</w:t>
      </w:r>
    </w:p>
    <w:p>
      <w:pPr>
        <w:shd w:fill="FEF1EF" w:val="clear"/>
        <w:spacing w:after="0" w:before="130"/>
        <w:ind w:left="110" w:right="110"/>
      </w:pPr>
      <w:r>
        <w:rPr>
          <w:rFonts w:ascii="Calibri" w:cs="Calibri" w:eastAsia="Calibri" w:hAnsi="Calibri"/>
          <w:b/>
          <w:bCs/>
          <w:color w:val="96261C"/>
          <w:sz w:val="16"/>
          <w:szCs w:val="16"/>
        </w:rPr>
        <w:t xml:space="preserve">JOINING ON CURRENCY_CODE ALONE WOULD QUADRUPLE YOUR REVENUE</w:t>
      </w:r>
    </w:p>
    <w:p>
      <w:pPr>
        <w:shd w:fill="FEF1EF" w:val="clear"/>
        <w:spacing w:after="150"/>
        <w:ind w:left="110" w:right="110"/>
      </w:pPr>
      <w:r>
        <w:rPr>
          <w:rFonts w:ascii="Calibri" w:cs="Calibri" w:eastAsia="Calibri" w:hAnsi="Calibri"/>
          <w:sz w:val="20"/>
          <w:szCs w:val="20"/>
        </w:rPr>
        <w:t xml:space="preserve">Most codes exist four times in the dimension, so a code-only relationship fans out up to four ways. The model builds CurrencyKey = Currency_Code &amp; "|" &amp; Region on both sides. All 12 currency-region pairs present in the facts resolve with zero unmatched.</w:t>
      </w:r>
    </w:p>
    <w:p>
      <w:pPr>
        <w:spacing w:after="80"/>
      </w:pPr>
      <w:r>
        <w:rPr>
          <w:rFonts w:ascii="Calibri" w:cs="Calibri" w:eastAsia="Calibri" w:hAnsi="Calibri"/>
          <w:sz w:val="21"/>
          <w:szCs w:val="21"/>
        </w:rPr>
        <w:t xml:space="preserve">The twelve pairs in use:</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3300"/>
        <w:gridCol w:w="1900"/>
      </w:tblGrid>
      <w:tr>
        <w:trPr>
          <w:tblHeader/>
        </w:trPr>
        <w:tc>
          <w:tcPr>
            <w:tcW w:type="dxa" w:w="1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Region</w:t>
            </w:r>
          </w:p>
        </w:tc>
        <w:tc>
          <w:tcPr>
            <w:tcW w:type="dxa" w:w="1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Code</w:t>
            </w:r>
          </w:p>
        </w:tc>
        <w:tc>
          <w:tcPr>
            <w:tcW w:type="dxa" w:w="3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Description</w:t>
            </w:r>
          </w:p>
        </w:tc>
        <w:tc>
          <w:tcPr>
            <w:tcW w:type="dxa" w:w="1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Order lines</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EUR</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Euro</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22,526</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NAM</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USD</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US dollar</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17,517</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SAM</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USD</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US dollar</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7,867</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SAM</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BRL</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Brazilian Real</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7,520</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USD</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US Dollar</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3,460</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SAM</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USC</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Dólar Compra</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2,976</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AUS</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AUD</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Australian Dollar</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2,572</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NOK</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Norwegian Krone</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1,911</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AUS</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USD</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US dollar</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1,115</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GBP</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Pound Sterling</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716</w:t>
            </w:r>
          </w:p>
        </w:tc>
      </w:tr>
      <w:tr>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FFFFF"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SEK</w:t>
            </w:r>
          </w:p>
        </w:tc>
        <w:tc>
          <w:tcPr>
            <w:tcW w:type="dxa" w:w="33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Swedish Krona</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253</w:t>
            </w:r>
          </w:p>
        </w:tc>
      </w:tr>
      <w:tr>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EUR</w:t>
            </w:r>
          </w:p>
        </w:tc>
        <w:tc>
          <w:tcPr>
            <w:tcW w:type="dxa" w:w="1200"/>
            <w:shd w:fill="F7F9FC" w:val="clear"/>
            <w:tcMar>
              <w:top w:type="dxa" w:w="60"/>
              <w:left w:type="dxa" w:w="90"/>
              <w:bottom w:type="dxa" w:w="60"/>
              <w:right w:type="dxa" w:w="90"/>
            </w:tcMar>
          </w:tcPr>
          <w:p>
            <w:pPr>
              <w:spacing w:after="0"/>
              <w:jc w:val="center"/>
            </w:pPr>
            <w:r>
              <w:rPr>
                <w:rFonts w:ascii="Consolas" w:cs="Consolas" w:eastAsia="Consolas" w:hAnsi="Consolas"/>
                <w:sz w:val="17"/>
                <w:szCs w:val="17"/>
              </w:rPr>
              <w:t xml:space="preserve">CHF</w:t>
            </w:r>
          </w:p>
        </w:tc>
        <w:tc>
          <w:tcPr>
            <w:tcW w:type="dxa" w:w="33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Swiss Franc</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52</w:t>
            </w:r>
          </w:p>
        </w:tc>
      </w:tr>
    </w:tbl>
    <w:p>
      <w:pPr>
        <w:spacing w:after="120"/>
      </w:pPr>
      <w:r>
        <w:rPr>
          <w:rFonts w:ascii="Calibri" w:cs="Calibri" w:eastAsia="Calibri" w:hAnsi="Calibri"/>
          <w:sz w:val="10"/>
          <w:szCs w:val="10"/>
        </w:rPr>
        <w:t xml:space="preserve"> </w:t>
      </w:r>
    </w:p>
    <w:p>
      <w:pPr>
        <w:pStyle w:val="Heading2"/>
        <w:spacing w:after="140" w:before="300"/>
      </w:pPr>
      <w:r>
        <w:t xml:space="preserve">5.2 dim_ExchangeRate — three decisions</w:t>
      </w:r>
    </w:p>
    <w:p>
      <w:pPr>
        <w:spacing w:after="120"/>
      </w:pPr>
      <w:r>
        <w:rPr>
          <w:rFonts w:ascii="Calibri" w:cs="Calibri" w:eastAsia="Calibri" w:hAnsi="Calibri"/>
          <w:sz w:val="21"/>
          <w:szCs w:val="21"/>
        </w:rPr>
        <w:t xml:space="preserve">112,877 source rows reduce to a daily USD conversion spine. The source gives Conversion_Rate in a From → To direction, so AUD → BRL at 3.843 means one Australian dollar buys 3.843 reais. Three choices had to be made, and each was tested rather than assumed.</w:t>
      </w:r>
    </w:p>
    <w:p>
      <w:pPr>
        <w:spacing w:after="120"/>
      </w:pPr>
      <w:r>
        <w:rPr>
          <w:rFonts w:ascii="Calibri" w:cs="Calibri" w:eastAsia="Calibri" w:hAnsi="Calibri"/>
          <w:b/>
          <w:bCs/>
          <w:sz w:val="21"/>
          <w:szCs w:val="21"/>
        </w:rPr>
        <w:t xml:space="preserve">Decision 1 — Conversion_Type = "Corporate" only.</w:t>
      </w:r>
      <w:r>
        <w:rPr>
          <w:rFonts w:ascii="Calibri" w:cs="Calibri" w:eastAsia="Calibri" w:hAnsi="Calibri"/>
          <w:sz w:val="21"/>
          <w:szCs w:val="21"/>
        </w:rPr>
        <w:t xml:space="preserve"> The file holds 55 conversion types. Corporate is the only one with complete daily coverage: 225 of 225 days in the reporting window for every currency in use, with no weekend gaps. The numeric types (1000, 1621, 1740 and so on) and the Period Average / Period End variants are partial and inconsistent between currencies.</w:t>
      </w:r>
    </w:p>
    <w:p>
      <w:pPr>
        <w:spacing w:after="120"/>
      </w:pPr>
      <w:r>
        <w:rPr>
          <w:rFonts w:ascii="Calibri" w:cs="Calibri" w:eastAsia="Calibri" w:hAnsi="Calibri"/>
          <w:b/>
          <w:bCs/>
          <w:sz w:val="21"/>
          <w:szCs w:val="21"/>
        </w:rPr>
        <w:t xml:space="preserve">Decision 2 — region is part of the key, not decoration.</w:t>
      </w:r>
      <w:r>
        <w:rPr>
          <w:rFonts w:ascii="Calibri" w:cs="Calibri" w:eastAsia="Calibri" w:hAnsi="Calibri"/>
          <w:sz w:val="21"/>
          <w:szCs w:val="21"/>
        </w:rPr>
        <w:t xml:space="preserve"> For the same currency pair on the same date, the rate </w:t>
      </w:r>
      <w:r>
        <w:rPr>
          <w:rFonts w:ascii="Calibri" w:cs="Calibri" w:eastAsia="Calibri" w:hAnsi="Calibri"/>
          <w:b/>
          <w:bCs/>
          <w:sz w:val="21"/>
          <w:szCs w:val="21"/>
        </w:rPr>
        <w:t xml:space="preserve">differs between regions on 80.5%</w:t>
      </w:r>
      <w:r>
        <w:rPr>
          <w:rFonts w:ascii="Calibri" w:cs="Calibri" w:eastAsia="Calibri" w:hAnsi="Calibri"/>
          <w:sz w:val="21"/>
          <w:szCs w:val="21"/>
        </w:rPr>
        <w:t xml:space="preserve"> of overlapping rows. AUD → BRL on 1 January 2025 is 3.84344254 in AUS and 3.83922654 in EUR. Joining on currency alone would silently pick whichever regional rate happened to sort first.</w:t>
      </w:r>
    </w:p>
    <w:p>
      <w:pPr>
        <w:spacing w:after="120"/>
      </w:pPr>
      <w:r>
        <w:rPr>
          <w:rFonts w:ascii="Calibri" w:cs="Calibri" w:eastAsia="Calibri" w:hAnsi="Calibri"/>
          <w:b/>
          <w:bCs/>
          <w:sz w:val="21"/>
          <w:szCs w:val="21"/>
        </w:rPr>
        <w:t xml:space="preserve">Decision 3 — USD and USC are identity rows.</w:t>
      </w:r>
      <w:r>
        <w:rPr>
          <w:rFonts w:ascii="Calibri" w:cs="Calibri" w:eastAsia="Calibri" w:hAnsi="Calibri"/>
          <w:sz w:val="21"/>
          <w:szCs w:val="21"/>
        </w:rPr>
        <w:t xml:space="preserve"> The source carries no USD → USD row at all, so it is created. USC is covered in 5.3.</w:t>
      </w:r>
    </w:p>
    <w:p>
      <w:pPr>
        <w:spacing w:after="120"/>
      </w:pPr>
      <w:r>
        <w:rPr>
          <w:rFonts w:ascii="Calibri" w:cs="Calibri" w:eastAsia="Calibri" w:hAnsi="Calibri"/>
          <w:sz w:val="8"/>
          <w:szCs w:val="8"/>
        </w:rPr>
        <w:t xml:space="preserve"> </w:t>
      </w:r>
    </w:p>
    <w:p>
      <w:pPr>
        <w:shd w:fill="FEF1EF" w:val="clear"/>
        <w:spacing w:after="0" w:before="130"/>
        <w:ind w:left="110" w:right="110"/>
      </w:pPr>
      <w:r>
        <w:rPr>
          <w:rFonts w:ascii="Calibri" w:cs="Calibri" w:eastAsia="Calibri" w:hAnsi="Calibri"/>
          <w:b/>
          <w:bCs/>
          <w:color w:val="96261C"/>
          <w:sz w:val="16"/>
          <w:szCs w:val="16"/>
        </w:rPr>
        <w:t xml:space="preserve">DO NOT USE F_INVOICE[EXCHANGE_RATE] INSTEAD</w:t>
      </w:r>
    </w:p>
    <w:p>
      <w:pPr>
        <w:shd w:fill="FEF1EF" w:val="clear"/>
        <w:spacing w:after="150"/>
        <w:ind w:left="110" w:right="110"/>
      </w:pPr>
      <w:r>
        <w:rPr>
          <w:rFonts w:ascii="Calibri" w:cs="Calibri" w:eastAsia="Calibri" w:hAnsi="Calibri"/>
          <w:sz w:val="20"/>
          <w:szCs w:val="20"/>
        </w:rPr>
        <w:t xml:space="preserve">It is 34.9% populated and stores inconsistent directions. EUR, GBP, CHF and SEK are USD-per-local; NOK is local-per-USD (9.58 where the true rate is 0.105). USD rows carry a median of 1.3834 instead of 1.0, so the column is not even aligned to the transaction currency. Mixing those directions produces roughly a 90× error on NOK while looking entirely plausible everywhere else.</w:t>
      </w:r>
    </w:p>
    <w:p>
      <w:pPr>
        <w:pStyle w:val="Heading2"/>
        <w:spacing w:after="140" w:before="300"/>
      </w:pPr>
      <w:r>
        <w:t xml:space="preserve">5.3 USC resolved — it is 1:1 with USD</w:t>
      </w:r>
    </w:p>
    <w:p>
      <w:pPr>
        <w:spacing w:after="120"/>
      </w:pPr>
      <w:r>
        <w:rPr>
          <w:rFonts w:ascii="Calibri" w:cs="Calibri" w:eastAsia="Calibri" w:hAnsi="Calibri"/>
          <w:sz w:val="21"/>
          <w:szCs w:val="21"/>
        </w:rPr>
        <w:t xml:space="preserve">d_currency describes USC as </w:t>
      </w:r>
      <w:r>
        <w:rPr>
          <w:rFonts w:ascii="Calibri" w:cs="Calibri" w:eastAsia="Calibri" w:hAnsi="Calibri"/>
          <w:b/>
          <w:bCs/>
          <w:sz w:val="21"/>
          <w:szCs w:val="21"/>
        </w:rPr>
        <w:t xml:space="preserve">"Dólar Compra"</w:t>
      </w:r>
      <w:r>
        <w:rPr>
          <w:rFonts w:ascii="Calibri" w:cs="Calibri" w:eastAsia="Calibri" w:hAnsi="Calibri"/>
          <w:sz w:val="21"/>
          <w:szCs w:val="21"/>
        </w:rPr>
        <w:t xml:space="preserve"> — buying-rate dollar — present in the SAM region only, on Brazilian price lists. It carries no USD price on any of its 2,976 order lines, so before the rate table arrived there was nothing in the data to convert it with. The rate table settles it three separate ways:</w:t>
      </w:r>
    </w:p>
    <w:p>
      <w:pPr>
        <w:pStyle w:val="ListParagraph"/>
        <w:numPr>
          <w:ilvl w:val="0"/>
          <w:numId w:val="2"/>
        </w:numPr>
        <w:spacing w:after="70"/>
      </w:pPr>
      <w:r>
        <w:rPr>
          <w:rFonts w:ascii="Calibri" w:cs="Calibri" w:eastAsia="Calibri" w:hAnsi="Calibri"/>
          <w:sz w:val="21"/>
          <w:szCs w:val="21"/>
        </w:rPr>
        <w:t xml:space="preserve">Direct USC → USD rows exist and read exactly 1.000000</w:t>
      </w:r>
    </w:p>
    <w:p>
      <w:pPr>
        <w:pStyle w:val="ListParagraph"/>
        <w:numPr>
          <w:ilvl w:val="0"/>
          <w:numId w:val="2"/>
        </w:numPr>
        <w:spacing w:after="70"/>
      </w:pPr>
      <w:r>
        <w:rPr>
          <w:rFonts w:ascii="Calibri" w:cs="Calibri" w:eastAsia="Calibri" w:hAnsi="Calibri"/>
          <w:sz w:val="21"/>
          <w:szCs w:val="21"/>
        </w:rPr>
        <w:t xml:space="preserve">BRL → USC and BRL → USD track each other across 591 shared dates with a median ratio of 1.000111 — a 0.011% difference</w:t>
      </w:r>
    </w:p>
    <w:p>
      <w:pPr>
        <w:pStyle w:val="ListParagraph"/>
        <w:numPr>
          <w:ilvl w:val="0"/>
          <w:numId w:val="2"/>
        </w:numPr>
        <w:spacing w:after="70"/>
      </w:pPr>
      <w:r>
        <w:rPr>
          <w:rFonts w:ascii="Calibri" w:cs="Calibri" w:eastAsia="Calibri" w:hAnsi="Calibri"/>
          <w:sz w:val="21"/>
          <w:szCs w:val="21"/>
        </w:rPr>
        <w:t xml:space="preserve">USC → BRL is the exact reciprocal of BRL → USC to eight decimal places, so the pair is internally consistent</w:t>
      </w:r>
    </w:p>
    <w:p>
      <w:pPr>
        <w:spacing w:after="120"/>
      </w:pPr>
      <w:r>
        <w:rPr>
          <w:rFonts w:ascii="Calibri" w:cs="Calibri" w:eastAsia="Calibri" w:hAnsi="Calibri"/>
          <w:sz w:val="8"/>
          <w:szCs w:val="8"/>
        </w:rPr>
        <w:t xml:space="preserve"> </w:t>
      </w:r>
    </w:p>
    <w:p>
      <w:pPr>
        <w:shd w:fill="EFF9F2" w:val="clear"/>
        <w:spacing w:after="0" w:before="130"/>
        <w:ind w:left="110" w:right="110"/>
      </w:pPr>
      <w:r>
        <w:rPr>
          <w:rFonts w:ascii="Calibri" w:cs="Calibri" w:eastAsia="Calibri" w:hAnsi="Calibri"/>
          <w:b/>
          <w:bCs/>
          <w:color w:val="1B6B37"/>
          <w:sz w:val="16"/>
          <w:szCs w:val="16"/>
        </w:rPr>
        <w:t xml:space="preserve">IT WAS NEVER US CENTS</w:t>
      </w:r>
    </w:p>
    <w:p>
      <w:pPr>
        <w:shd w:fill="EFF9F2" w:val="clear"/>
        <w:spacing w:after="150"/>
        <w:ind w:left="110" w:right="110"/>
      </w:pPr>
      <w:r>
        <w:rPr>
          <w:rFonts w:ascii="Calibri" w:cs="Calibri" w:eastAsia="Calibri" w:hAnsi="Calibri"/>
          <w:sz w:val="20"/>
          <w:szCs w:val="20"/>
        </w:rPr>
        <w:t xml:space="preserve">The earlier read of this data suggested USC might be cents, which would have meant dividing by 100. It is not: the price-per-tonne ratio against comparable SAM lines was about 1/12, nowhere near 100×, and the rate table now confirms parity with USD. All 2,976 lines convert. Had the cents assumption been applied, SAM pricing would have been understated by two orders of magnitude.</w:t>
      </w:r>
    </w:p>
    <w:p>
      <w:pPr>
        <w:pStyle w:val="Heading2"/>
        <w:spacing w:after="140" w:before="300"/>
      </w:pPr>
      <w:r>
        <w:t xml:space="preserve">5.4 The source supplies the rate — and it is exact</w:t>
      </w:r>
    </w:p>
    <w:p>
      <w:pPr>
        <w:spacing w:after="120"/>
      </w:pPr>
      <w:r>
        <w:rPr>
          <w:rFonts w:ascii="Calibri" w:cs="Calibri" w:eastAsia="Calibri" w:hAnsi="Calibri"/>
          <w:sz w:val="21"/>
          <w:szCs w:val="21"/>
        </w:rPr>
        <w:t xml:space="preserve">The v2 sales order query joins Sales_Order_V and brings back </w:t>
      </w:r>
      <w:r>
        <w:rPr>
          <w:rFonts w:ascii="Calibri" w:cs="Calibri" w:eastAsia="Calibri" w:hAnsi="Calibri"/>
          <w:b/>
          <w:bCs/>
          <w:sz w:val="21"/>
          <w:szCs w:val="21"/>
        </w:rPr>
        <w:t xml:space="preserve">Exchange_Date, Exchange_Rate and Exchange_Rate_Type</w:t>
      </w:r>
      <w:r>
        <w:rPr>
          <w:rFonts w:ascii="Calibri" w:cs="Calibri" w:eastAsia="Calibri" w:hAnsi="Calibri"/>
          <w:sz w:val="21"/>
          <w:szCs w:val="21"/>
        </w:rPr>
        <w:t xml:space="preserve">. That turns the conversion from something inferred into something read. Three tests, all on the current extract:</w:t>
      </w:r>
    </w:p>
    <w:p>
      <w:pPr>
        <w:spacing w:after="120"/>
      </w:pPr>
      <w:r>
        <w:rPr>
          <w:rFonts w:ascii="Calibri" w:cs="Calibri" w:eastAsia="Calibri" w:hAnsi="Calibri"/>
          <w:sz w:val="6"/>
          <w:szCs w:val="6"/>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200"/>
        <w:gridCol w:w="5736"/>
      </w:tblGrid>
      <w:tr>
        <w:trPr>
          <w:tblHeader/>
        </w:trPr>
        <w:tc>
          <w:tcPr>
            <w:tcW w:type="dxa" w:w="4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Test</w:t>
            </w:r>
          </w:p>
        </w:tc>
        <w:tc>
          <w:tcPr>
            <w:tcW w:type="dxa" w:w="57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Result</w:t>
            </w:r>
          </w:p>
        </w:tc>
      </w:tr>
      <w:tr>
        <w:tc>
          <w:tcPr>
            <w:tcW w:type="dxa" w:w="42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Exchange_Rate × local price vs the source USD price</w:t>
            </w:r>
          </w:p>
        </w:tc>
        <w:tc>
          <w:tcPr>
            <w:tcW w:type="dxa" w:w="57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Exact on 100% of 25,834 rows — and on 100% of 23,602 list prices</w:t>
            </w:r>
          </w:p>
        </w:tc>
      </w:tr>
      <w:tr>
        <w:tc>
          <w:tcPr>
            <w:tcW w:type="dxa" w:w="42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Exchange_Date vs Line_Actual_Shipment_Date</w:t>
            </w:r>
          </w:p>
        </w:tc>
        <w:tc>
          <w:tcPr>
            <w:tcW w:type="dxa" w:w="57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Equal on 100% of the 28,719 shipped rows. Zero offset, not approximately.</w:t>
            </w:r>
          </w:p>
        </w:tc>
      </w:tr>
      <w:tr>
        <w:tc>
          <w:tcPr>
            <w:tcW w:type="dxa" w:w="42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Exchange_Rate_Type</w:t>
            </w:r>
          </w:p>
        </w:tc>
        <w:tc>
          <w:tcPr>
            <w:tcW w:type="dxa" w:w="57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'Corporate' on every populated row — independently confirms the type chosen for dim_ExchangeRate</w:t>
            </w:r>
          </w:p>
        </w:tc>
      </w:tr>
      <w:tr>
        <w:tc>
          <w:tcPr>
            <w:tcW w:type="dxa" w:w="42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USD and USC rows</w:t>
            </w:r>
          </w:p>
        </w:tc>
        <w:tc>
          <w:tcPr>
            <w:tcW w:type="dxa" w:w="57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Carry no rate at all, which independently confirms USC is handled as USD at parity</w:t>
            </w:r>
          </w:p>
        </w:tc>
      </w:tr>
    </w:tbl>
    <w:p>
      <w:pPr>
        <w:spacing w:after="120"/>
      </w:pPr>
      <w:r>
        <w:rPr>
          <w:rFonts w:ascii="Calibri" w:cs="Calibri" w:eastAsia="Calibri" w:hAnsi="Calibri"/>
          <w:sz w:val="8"/>
          <w:szCs w:val="8"/>
        </w:rPr>
        <w:t xml:space="preserve"> </w:t>
      </w:r>
    </w:p>
    <w:p>
      <w:pPr>
        <w:shd w:fill="EFF9F2" w:val="clear"/>
        <w:spacing w:after="0" w:before="130"/>
        <w:ind w:left="110" w:right="110"/>
      </w:pPr>
      <w:r>
        <w:rPr>
          <w:rFonts w:ascii="Calibri" w:cs="Calibri" w:eastAsia="Calibri" w:hAnsi="Calibri"/>
          <w:b/>
          <w:bCs/>
          <w:color w:val="1B6B37"/>
          <w:sz w:val="16"/>
          <w:szCs w:val="16"/>
        </w:rPr>
        <w:t xml:space="preserve">THE EARLIER INFERENCE WAS RIGHT, AND IS NOW RETIRED</w:t>
      </w:r>
    </w:p>
    <w:p>
      <w:pPr>
        <w:shd w:fill="EFF9F2" w:val="clear"/>
        <w:spacing w:after="150"/>
        <w:ind w:left="110" w:right="110"/>
      </w:pPr>
      <w:r>
        <w:rPr>
          <w:rFonts w:ascii="Calibri" w:cs="Calibri" w:eastAsia="Calibri" w:hAnsi="Calibri"/>
          <w:sz w:val="20"/>
          <w:szCs w:val="20"/>
        </w:rPr>
        <w:t xml:space="preserve">Before these columns existed the model inferred the conversion date by comparing implied rates across candidate dates. That test pointed at actual shipment date with 100% agreement. The source now says the same thing directly. The inference has been replaced by the fact — the ladder survives only as a fallback for rows the source leaves blank.</w:t>
      </w:r>
    </w:p>
    <w:p>
      <w:pPr>
        <w:pStyle w:val="Heading2"/>
        <w:spacing w:after="140" w:before="300"/>
      </w:pPr>
      <w:r>
        <w:t xml:space="preserve">5.5 Rate precedence — three tiers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1100"/>
        <w:gridCol w:w="900"/>
        <w:gridCol w:w="2836"/>
      </w:tblGrid>
      <w:tr>
        <w:trPr>
          <w:tblHeader/>
        </w:trPr>
        <w:tc>
          <w:tcPr>
            <w:tcW w:type="dxa" w:w="2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Tier</w:t>
            </w:r>
          </w:p>
        </w:tc>
        <w:tc>
          <w:tcPr>
            <w:tcW w:type="dxa" w:w="2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Applies to</w:t>
            </w:r>
          </w:p>
        </w:tc>
        <w:tc>
          <w:tcPr>
            <w:tcW w:type="dxa" w:w="1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Lines</w:t>
            </w:r>
          </w:p>
        </w:tc>
        <w:tc>
          <w:tcPr>
            <w:tcW w:type="dxa" w:w="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Share</w:t>
            </w:r>
          </w:p>
        </w:tc>
        <w:tc>
          <w:tcPr>
            <w:tcW w:type="dxa" w:w="28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Why</w:t>
            </w:r>
          </w:p>
        </w:tc>
      </w:tr>
      <w:tr>
        <w:tc>
          <w:tcPr>
            <w:tcW w:type="dxa" w:w="22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1 — Identity</w:t>
            </w:r>
          </w:p>
        </w:tc>
        <w:tc>
          <w:tcPr>
            <w:tcW w:type="dxa" w:w="2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USD and USC</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33,120</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48.0%</w:t>
            </w:r>
          </w:p>
        </w:tc>
        <w:tc>
          <w:tcPr>
            <w:tcW w:type="dxa" w:w="28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No conversion needed. USC is 1:1 with USD, and the source supplies no rate for either.</w:t>
            </w:r>
          </w:p>
        </w:tc>
      </w:tr>
      <w:tr>
        <w:tc>
          <w:tcPr>
            <w:tcW w:type="dxa" w:w="22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2 — Source Exchange_Rate</w:t>
            </w:r>
          </w:p>
        </w:tc>
        <w:tc>
          <w:tcPr>
            <w:tcW w:type="dxa" w:w="29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Rows where the source did the arithmetic</w:t>
            </w:r>
          </w:p>
        </w:tc>
        <w:tc>
          <w:tcPr>
            <w:tcW w:type="dxa" w:w="11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30,541</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44.3%</w:t>
            </w:r>
          </w:p>
        </w:tc>
        <w:tc>
          <w:tcPr>
            <w:tcW w:type="dxa" w:w="28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Reproduces the USD price exactly. No reason to recompute it.</w:t>
            </w:r>
          </w:p>
        </w:tc>
      </w:tr>
      <w:tr>
        <w:tc>
          <w:tcPr>
            <w:tcW w:type="dxa" w:w="22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3 — Corporate rate table</w:t>
            </w:r>
          </w:p>
        </w:tc>
        <w:tc>
          <w:tcPr>
            <w:tcW w:type="dxa" w:w="29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Everything left</w:t>
            </w:r>
          </w:p>
        </w:tc>
        <w:tc>
          <w:tcPr>
            <w:tcW w:type="dxa" w:w="11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5,316</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7.7%</w:t>
            </w:r>
          </w:p>
        </w:tc>
        <w:tc>
          <w:tcPr>
            <w:tcW w:type="dxa" w:w="28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Looked up at FX_Date from d_exchange_rate.</w:t>
            </w:r>
          </w:p>
        </w:tc>
      </w:tr>
    </w:tbl>
    <w:p>
      <w:pPr>
        <w:spacing w:after="120"/>
      </w:pPr>
      <w:r>
        <w:rPr>
          <w:rFonts w:ascii="Calibri" w:cs="Calibri" w:eastAsia="Calibri" w:hAnsi="Calibri"/>
          <w:sz w:val="8"/>
          <w:szCs w:val="8"/>
        </w:rPr>
        <w:t xml:space="preserve"> </w:t>
      </w:r>
    </w:p>
    <w:p>
      <w:pPr>
        <w:spacing w:after="120"/>
      </w:pPr>
      <w:r>
        <w:rPr>
          <w:rFonts w:ascii="Calibri" w:cs="Calibri" w:eastAsia="Calibri" w:hAnsi="Calibri"/>
          <w:b/>
          <w:bCs/>
          <w:sz w:val="21"/>
          <w:szCs w:val="21"/>
        </w:rPr>
        <w:t xml:space="preserve">Coverage is now 100.000%</w:t>
      </w:r>
      <w:r>
        <w:rPr>
          <w:rFonts w:ascii="Calibri" w:cs="Calibri" w:eastAsia="Calibri" w:hAnsi="Calibri"/>
          <w:sz w:val="21"/>
          <w:szCs w:val="21"/>
        </w:rPr>
        <w:t xml:space="preserve"> — every one of the 68,977 order lines resolves to a rate, and nothing is unconvertible. The single stranded AUD line from the previous extract is gone.</w:t>
      </w:r>
    </w:p>
    <w:p>
      <w:pPr>
        <w:spacing w:after="120"/>
      </w:pPr>
      <w:r>
        <w:rPr>
          <w:rFonts w:ascii="Calibri" w:cs="Calibri" w:eastAsia="Calibri" w:hAnsi="Calibri"/>
          <w:sz w:val="10"/>
          <w:szCs w:val="10"/>
        </w:rPr>
        <w:t xml:space="preserve"> </w:t>
      </w:r>
    </w:p>
    <w:p>
      <w:pPr>
        <w:pStyle w:val="Heading2"/>
        <w:spacing w:after="140" w:before="300"/>
      </w:pPr>
      <w:r>
        <w:t xml:space="preserve">5.6 The FX date ladder, now a fallback</w:t>
      </w:r>
    </w:p>
    <w:p>
      <w:pPr>
        <w:spacing w:after="80"/>
      </w:pPr>
      <w:r>
        <w:rPr>
          <w:rFonts w:ascii="Calibri" w:cs="Calibri" w:eastAsia="Calibri" w:hAnsi="Calibri"/>
          <w:sz w:val="21"/>
          <w:szCs w:val="21"/>
        </w:rPr>
        <w:t xml:space="preserve">FX_Date takes the source Exchange_Date where it exists and falls back down the ladder where it does not. Rung 2 is confirmed equal to rung 1 wherever both are present, which is what makes the fallback trustworthy.</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FX_Date = Exchange_Date              -- authoritative, from the source</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 Actual_Shipment_Date       -- proven equal to Exchange_Date</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 Fulfillment_Date</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 Promise_Date               -- forward, capped at 2030</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 Schedule_Ship_Date         -- forward, capped at 2030</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 Ordered_Date</w:t>
      </w:r>
    </w:p>
    <w:p>
      <w:pPr>
        <w:spacing w:after="110"/>
      </w:pPr>
      <w:r>
        <w:rPr>
          <w:sz w:val="8"/>
          <w:szCs w:val="8"/>
        </w:rPr>
        <w:t xml:space="preserve"/>
      </w:r>
    </w:p>
    <w:tbl>
      <w:tblPr>
        <w:tblW w:type="dxa" w:w="8936"/>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1200"/>
        <w:gridCol w:w="3336"/>
      </w:tblGrid>
      <w:tr>
        <w:trPr>
          <w:tblHeader/>
        </w:trPr>
        <w:tc>
          <w:tcPr>
            <w:tcW w:type="dxa" w:w="3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Rung</w:t>
            </w:r>
          </w:p>
        </w:tc>
        <w:tc>
          <w:tcPr>
            <w:tcW w:type="dxa" w:w="1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Lines</w:t>
            </w:r>
          </w:p>
        </w:tc>
        <w:tc>
          <w:tcPr>
            <w:tcW w:type="dxa" w:w="1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Share</w:t>
            </w:r>
          </w:p>
        </w:tc>
        <w:tc>
          <w:tcPr>
            <w:tcW w:type="dxa" w:w="33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Nature</w:t>
            </w:r>
          </w:p>
        </w:tc>
      </w:tr>
      <w:tr>
        <w:tc>
          <w:tcPr>
            <w:tcW w:type="dxa" w:w="3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1 — Source Exchange_Date</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30,541</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44.3%</w:t>
            </w:r>
          </w:p>
        </w:tc>
        <w:tc>
          <w:tcPr>
            <w:tcW w:type="dxa" w:w="3336"/>
            <w:shd w:fill="FFFFFF" w:val="clear"/>
            <w:tcMar>
              <w:top w:type="dxa" w:w="60"/>
              <w:left w:type="dxa" w:w="90"/>
              <w:bottom w:type="dxa" w:w="60"/>
              <w:right w:type="dxa" w:w="90"/>
            </w:tcMar>
          </w:tcPr>
          <w:p>
            <w:pPr>
              <w:spacing w:after="0"/>
            </w:pPr>
            <w:r>
              <w:rPr>
                <w:rFonts w:ascii="Calibri" w:cs="Calibri" w:eastAsia="Calibri" w:hAnsi="Calibri"/>
                <w:color w:val="2E7D32"/>
                <w:sz w:val="17"/>
                <w:szCs w:val="17"/>
              </w:rPr>
              <w:t xml:space="preserve">Authoritative</w:t>
            </w:r>
          </w:p>
        </w:tc>
      </w:tr>
      <w:tr>
        <w:tc>
          <w:tcPr>
            <w:tcW w:type="dxa" w:w="3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2 — Actual shipment</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30,617</w:t>
            </w:r>
          </w:p>
        </w:tc>
        <w:tc>
          <w:tcPr>
            <w:tcW w:type="dxa" w:w="12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44.4%</w:t>
            </w:r>
          </w:p>
        </w:tc>
        <w:tc>
          <w:tcPr>
            <w:tcW w:type="dxa" w:w="3336"/>
            <w:shd w:fill="F7F9FC" w:val="clear"/>
            <w:tcMar>
              <w:top w:type="dxa" w:w="60"/>
              <w:left w:type="dxa" w:w="90"/>
              <w:bottom w:type="dxa" w:w="60"/>
              <w:right w:type="dxa" w:w="90"/>
            </w:tcMar>
          </w:tcPr>
          <w:p>
            <w:pPr>
              <w:spacing w:after="0"/>
            </w:pPr>
            <w:r>
              <w:rPr>
                <w:rFonts w:ascii="Calibri" w:cs="Calibri" w:eastAsia="Calibri" w:hAnsi="Calibri"/>
                <w:color w:val="2E7D32"/>
                <w:sz w:val="17"/>
                <w:szCs w:val="17"/>
              </w:rPr>
              <w:t xml:space="preserve">Confirmed equal to rung 1</w:t>
            </w:r>
          </w:p>
        </w:tc>
      </w:tr>
      <w:tr>
        <w:tc>
          <w:tcPr>
            <w:tcW w:type="dxa" w:w="3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3 — Fulfilment</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4,168</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6.0%</w:t>
            </w:r>
          </w:p>
        </w:tc>
        <w:tc>
          <w:tcPr>
            <w:tcW w:type="dxa" w:w="3336"/>
            <w:shd w:fill="FFFFFF" w:val="clear"/>
            <w:tcMar>
              <w:top w:type="dxa" w:w="60"/>
              <w:left w:type="dxa" w:w="90"/>
              <w:bottom w:type="dxa" w:w="60"/>
              <w:right w:type="dxa" w:w="90"/>
            </w:tcMar>
          </w:tcPr>
          <w:p>
            <w:pPr>
              <w:spacing w:after="0"/>
            </w:pPr>
            <w:r>
              <w:rPr>
                <w:rFonts w:ascii="Calibri" w:cs="Calibri" w:eastAsia="Calibri" w:hAnsi="Calibri"/>
                <w:color w:val="2E7D32"/>
                <w:sz w:val="17"/>
                <w:szCs w:val="17"/>
              </w:rPr>
              <w:t xml:space="preserve">Realised</w:t>
            </w:r>
          </w:p>
        </w:tc>
      </w:tr>
      <w:tr>
        <w:tc>
          <w:tcPr>
            <w:tcW w:type="dxa" w:w="3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4 — Promise date</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3,168</w:t>
            </w:r>
          </w:p>
        </w:tc>
        <w:tc>
          <w:tcPr>
            <w:tcW w:type="dxa" w:w="12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4.6%</w:t>
            </w:r>
          </w:p>
        </w:tc>
        <w:tc>
          <w:tcPr>
            <w:tcW w:type="dxa" w:w="3336"/>
            <w:shd w:fill="F7F9FC" w:val="clear"/>
            <w:tcMar>
              <w:top w:type="dxa" w:w="60"/>
              <w:left w:type="dxa" w:w="90"/>
              <w:bottom w:type="dxa" w:w="60"/>
              <w:right w:type="dxa" w:w="90"/>
            </w:tcMar>
          </w:tcPr>
          <w:p>
            <w:pPr>
              <w:spacing w:after="0"/>
            </w:pPr>
            <w:r>
              <w:rPr>
                <w:rFonts w:ascii="Calibri" w:cs="Calibri" w:eastAsia="Calibri" w:hAnsi="Calibri"/>
                <w:color w:val="C55A11"/>
                <w:sz w:val="17"/>
                <w:szCs w:val="17"/>
              </w:rPr>
              <w:t xml:space="preserve">Forward</w:t>
            </w:r>
          </w:p>
        </w:tc>
      </w:tr>
      <w:tr>
        <w:tc>
          <w:tcPr>
            <w:tcW w:type="dxa" w:w="30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5 — Scheduled ship</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483</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0.7%</w:t>
            </w:r>
          </w:p>
        </w:tc>
        <w:tc>
          <w:tcPr>
            <w:tcW w:type="dxa" w:w="3336"/>
            <w:shd w:fill="FFFFFF" w:val="clear"/>
            <w:tcMar>
              <w:top w:type="dxa" w:w="60"/>
              <w:left w:type="dxa" w:w="90"/>
              <w:bottom w:type="dxa" w:w="60"/>
              <w:right w:type="dxa" w:w="90"/>
            </w:tcMar>
          </w:tcPr>
          <w:p>
            <w:pPr>
              <w:spacing w:after="0"/>
            </w:pPr>
            <w:r>
              <w:rPr>
                <w:rFonts w:ascii="Calibri" w:cs="Calibri" w:eastAsia="Calibri" w:hAnsi="Calibri"/>
                <w:color w:val="C55A11"/>
                <w:sz w:val="17"/>
                <w:szCs w:val="17"/>
              </w:rPr>
              <w:t xml:space="preserve">Forward</w:t>
            </w:r>
          </w:p>
        </w:tc>
      </w:tr>
      <w:tr>
        <w:tc>
          <w:tcPr>
            <w:tcW w:type="dxa" w:w="30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6 — Order date</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0</w:t>
            </w:r>
          </w:p>
        </w:tc>
        <w:tc>
          <w:tcPr>
            <w:tcW w:type="dxa" w:w="12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0.0%</w:t>
            </w:r>
          </w:p>
        </w:tc>
        <w:tc>
          <w:tcPr>
            <w:tcW w:type="dxa" w:w="3336"/>
            <w:shd w:fill="F7F9FC" w:val="clear"/>
            <w:tcMar>
              <w:top w:type="dxa" w:w="60"/>
              <w:left w:type="dxa" w:w="90"/>
              <w:bottom w:type="dxa" w:w="60"/>
              <w:right w:type="dxa" w:w="90"/>
            </w:tcMar>
          </w:tcPr>
          <w:p>
            <w:pPr>
              <w:spacing w:after="0"/>
            </w:pPr>
            <w:r>
              <w:rPr>
                <w:rFonts w:ascii="Calibri" w:cs="Calibri" w:eastAsia="Calibri" w:hAnsi="Calibri"/>
                <w:color w:val="595959"/>
                <w:sz w:val="17"/>
                <w:szCs w:val="17"/>
              </w:rPr>
              <w:t xml:space="preserve">Never reached</w:t>
            </w:r>
          </w:p>
        </w:tc>
      </w:tr>
    </w:tbl>
    <w:p>
      <w:pPr>
        <w:spacing w:after="120"/>
      </w:pPr>
      <w:r>
        <w:rPr>
          <w:rFonts w:ascii="Calibri" w:cs="Calibri" w:eastAsia="Calibri" w:hAnsi="Calibri"/>
          <w:sz w:val="10"/>
          <w:szCs w:val="10"/>
        </w:rPr>
        <w:t xml:space="preserve"> </w:t>
      </w:r>
    </w:p>
    <w:p>
      <w:pPr>
        <w:spacing w:after="120"/>
      </w:pPr>
      <w:r>
        <w:rPr>
          <w:rFonts w:ascii="Calibri" w:cs="Calibri" w:eastAsia="Calibri" w:hAnsi="Calibri"/>
          <w:b/>
          <w:bCs/>
          <w:sz w:val="21"/>
          <w:szCs w:val="21"/>
        </w:rPr>
        <w:t xml:space="preserve">Forward exposure: </w:t>
      </w:r>
      <w:r>
        <w:rPr>
          <w:rFonts w:ascii="Calibri" w:cs="Calibri" w:eastAsia="Calibri" w:hAnsi="Calibri"/>
          <w:sz w:val="21"/>
          <w:szCs w:val="21"/>
        </w:rPr>
        <w:t xml:space="preserve">1,364 lines (1.98%) convert at a rate carried forward from 31 August 2026 because their date sits past the final quote. FX_Rate_Is_Forward marks them, and it now fires only on tier-3 rows — a source-supplied rate is never forward by definition.</w:t>
      </w:r>
    </w:p>
    <w:p>
      <w:pPr>
        <w:spacing w:after="120"/>
      </w:pPr>
      <w:r>
        <w:rPr>
          <w:rFonts w:ascii="Calibri" w:cs="Calibri" w:eastAsia="Calibri" w:hAnsi="Calibri"/>
          <w:sz w:val="10"/>
          <w:szCs w:val="10"/>
        </w:rPr>
        <w:t xml:space="preserve"> </w:t>
      </w:r>
    </w:p>
    <w:p>
      <w:pPr>
        <w:pStyle w:val="Heading2"/>
        <w:spacing w:after="140" w:before="300"/>
      </w:pPr>
      <w:r>
        <w:t xml:space="preserve">5.7 The quality flag</w:t>
      </w:r>
    </w:p>
    <w:p>
      <w:pPr>
        <w:spacing w:after="80"/>
      </w:pPr>
      <w:r>
        <w:rPr>
          <w:rFonts w:ascii="Calibri" w:cs="Calibri" w:eastAsia="Calibri" w:hAnsi="Calibri"/>
          <w:sz w:val="21"/>
          <w:szCs w:val="21"/>
        </w:rPr>
        <w:t xml:space="preserve">Every row is stamped so a converted number is never mistaken for a source one.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1200"/>
        <w:gridCol w:w="4336"/>
      </w:tblGrid>
      <w:tr>
        <w:trPr>
          <w:tblHeader/>
        </w:trPr>
        <w:tc>
          <w:tcPr>
            <w:tcW w:type="dxa" w:w="3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Price_USD_Quality</w:t>
            </w:r>
          </w:p>
        </w:tc>
        <w:tc>
          <w:tcPr>
            <w:tcW w:type="dxa" w:w="1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Lines</w:t>
            </w:r>
          </w:p>
        </w:tc>
        <w:tc>
          <w:tcPr>
            <w:tcW w:type="dxa" w:w="12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Share</w:t>
            </w:r>
          </w:p>
        </w:tc>
        <w:tc>
          <w:tcPr>
            <w:tcW w:type="dxa" w:w="43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Meaning</w:t>
            </w:r>
          </w:p>
        </w:tc>
      </w:tr>
      <w:tr>
        <w:tc>
          <w:tcPr>
            <w:tcW w:type="dxa" w:w="32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1 — Source</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60,685</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87.98%</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USD price came straight from the source query</w:t>
            </w:r>
          </w:p>
        </w:tc>
      </w:tr>
      <w:tr>
        <w:tc>
          <w:tcPr>
            <w:tcW w:type="dxa" w:w="32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2 — Converted</w:t>
            </w:r>
          </w:p>
        </w:tc>
        <w:tc>
          <w:tcPr>
            <w:tcW w:type="dxa" w:w="12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8,292</w:t>
            </w:r>
          </w:p>
        </w:tc>
        <w:tc>
          <w:tcPr>
            <w:tcW w:type="dxa" w:w="12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12.02%</w:t>
            </w:r>
          </w:p>
        </w:tc>
        <w:tc>
          <w:tcPr>
            <w:tcW w:type="dxa" w:w="4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Computed from the tier hierarchy in 5.5</w:t>
            </w:r>
          </w:p>
        </w:tc>
      </w:tr>
      <w:tr>
        <w:tc>
          <w:tcPr>
            <w:tcW w:type="dxa" w:w="32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3 — Not convertible</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0</w:t>
            </w:r>
          </w:p>
        </w:tc>
        <w:tc>
          <w:tcPr>
            <w:tcW w:type="dxa" w:w="12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0.00%</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Nothing is stranded on the v2 extract</w:t>
            </w:r>
          </w:p>
        </w:tc>
      </w:tr>
    </w:tbl>
    <w:p>
      <w:pPr>
        <w:spacing w:after="120"/>
      </w:pPr>
      <w:r>
        <w:rPr>
          <w:rFonts w:ascii="Calibri" w:cs="Calibri" w:eastAsia="Calibri" w:hAnsi="Calibri"/>
          <w:sz w:val="8"/>
          <w:szCs w:val="8"/>
        </w:rPr>
        <w:t xml:space="preserve"> </w:t>
      </w:r>
    </w:p>
    <w:p>
      <w:pPr>
        <w:spacing w:after="120"/>
      </w:pPr>
      <w:r>
        <w:rPr>
          <w:rFonts w:ascii="Calibri" w:cs="Calibri" w:eastAsia="Calibri" w:hAnsi="Calibri"/>
          <w:b/>
          <w:bCs/>
          <w:sz w:val="21"/>
          <w:szCs w:val="21"/>
        </w:rPr>
        <w:t xml:space="preserve">Accuracy: </w:t>
      </w:r>
      <w:r>
        <w:rPr>
          <w:rFonts w:ascii="Calibri" w:cs="Calibri" w:eastAsia="Calibri" w:hAnsi="Calibri"/>
          <w:sz w:val="21"/>
          <w:szCs w:val="21"/>
        </w:rPr>
        <w:t xml:space="preserve">tier 2 reproduces the source exactly by construction — it </w:t>
      </w:r>
      <w:r>
        <w:rPr>
          <w:rFonts w:ascii="Calibri" w:cs="Calibri" w:eastAsia="Calibri" w:hAnsi="Calibri"/>
          <w:i/>
          <w:iCs/>
          <w:sz w:val="21"/>
          <w:szCs w:val="21"/>
        </w:rPr>
        <w:t xml:space="preserve">is</w:t>
      </w:r>
      <w:r>
        <w:rPr>
          <w:rFonts w:ascii="Calibri" w:cs="Calibri" w:eastAsia="Calibri" w:hAnsi="Calibri"/>
          <w:sz w:val="21"/>
          <w:szCs w:val="21"/>
        </w:rPr>
        <w:t xml:space="preserve"> the source rate. Tier 3 was back-tested against 25,601 rows carrying both prices and reproduced the source exactly on 93.9%, within 0.5% on 96.9%, with a median error of 0.0000% for every individual currency.</w:t>
      </w:r>
    </w:p>
    <w:p>
      <w:pPr>
        <w:spacing w:after="120"/>
      </w:pPr>
      <w:r>
        <w:rPr>
          <w:rFonts w:ascii="Calibri" w:cs="Calibri" w:eastAsia="Calibri" w:hAnsi="Calibri"/>
          <w:sz w:val="6"/>
          <w:szCs w:val="6"/>
        </w:rPr>
        <w:t xml:space="preserve"> </w:t>
      </w:r>
    </w:p>
    <w:p>
      <w:pPr>
        <w:shd w:fill="EFF4FC" w:val="clear"/>
        <w:spacing w:after="0" w:before="130"/>
        <w:ind w:left="110" w:right="110"/>
      </w:pPr>
      <w:r>
        <w:rPr>
          <w:rFonts w:ascii="Calibri" w:cs="Calibri" w:eastAsia="Calibri" w:hAnsi="Calibri"/>
          <w:b/>
          <w:bCs/>
          <w:color w:val="274B87"/>
          <w:sz w:val="16"/>
          <w:szCs w:val="16"/>
        </w:rPr>
        <w:t xml:space="preserve">THE FLAG STILL MATTERS</w:t>
      </w:r>
    </w:p>
    <w:p>
      <w:pPr>
        <w:shd w:fill="EFF4FC" w:val="clear"/>
        <w:spacing w:after="150"/>
        <w:ind w:left="110" w:right="110"/>
      </w:pPr>
      <w:r>
        <w:rPr>
          <w:rFonts w:ascii="Calibri" w:cs="Calibri" w:eastAsia="Calibri" w:hAnsi="Calibri"/>
          <w:sz w:val="20"/>
          <w:szCs w:val="20"/>
        </w:rPr>
        <w:t xml:space="preserve">Coverage is 100.000% and tier 2 is the source rate itself, but a converted number is still labelled as one. Avg Selling Price USD excludes unconvertible rows explicitly; Avg Selling Price USD (Source Only) lets you prove the conversion is not shifting the answer; Conversion Impact % measures the gap between the two. And never aggregate Unit_Selling_Price_Local — it mixes nine currencies and will always return a plausible-looking number.</w:t>
      </w:r>
    </w:p>
    <w:p>
      <w:r>
        <w:br w:type="page"/>
      </w:r>
    </w:p>
    <w:p>
      <w:pPr>
        <w:pStyle w:val="Heading1"/>
        <w:spacing w:after="140" w:before="300"/>
      </w:pPr>
      <w:r>
        <w:t xml:space="preserve">6. Data corrections applied at load</w:t>
      </w:r>
    </w:p>
    <w:p>
      <w:pPr>
        <w:spacing w:after="120"/>
      </w:pPr>
      <w:r>
        <w:rPr>
          <w:rFonts w:ascii="Calibri" w:cs="Calibri" w:eastAsia="Calibri" w:hAnsi="Calibri"/>
          <w:sz w:val="21"/>
          <w:szCs w:val="21"/>
        </w:rPr>
        <w:t xml:space="preserve">Four corrections are built into the Power Query steps. They are not cosmetic — without them the headline numbers are wrong by amounts that would be noticed in a board pack.</w:t>
      </w:r>
    </w:p>
    <w:p>
      <w:pPr>
        <w:spacing w:after="120"/>
      </w:pPr>
      <w:r>
        <w:rPr>
          <w:rFonts w:ascii="Calibri" w:cs="Calibri" w:eastAsia="Calibri" w:hAnsi="Calibri"/>
          <w:sz w:val="8"/>
          <w:szCs w:val="8"/>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2400"/>
        <w:gridCol w:w="4036"/>
      </w:tblGrid>
      <w:tr>
        <w:trPr>
          <w:tblHeader/>
        </w:trPr>
        <w:tc>
          <w:tcPr>
            <w:tcW w:type="dxa" w:w="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t>
            </w:r>
          </w:p>
        </w:tc>
        <w:tc>
          <w:tcPr>
            <w:tcW w:type="dxa" w:w="3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Correction</w:t>
            </w:r>
          </w:p>
        </w:tc>
        <w:tc>
          <w:tcPr>
            <w:tcW w:type="dxa" w:w="2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Where</w:t>
            </w:r>
          </w:p>
        </w:tc>
        <w:tc>
          <w:tcPr>
            <w:tcW w:type="dxa" w:w="40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Effect if omitted</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A</w:t>
            </w:r>
          </w:p>
        </w:tc>
        <w:tc>
          <w:tcPr>
            <w:tcW w:type="dxa" w:w="30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Filter 48 malformed shipment rows</w:t>
            </w:r>
          </w:p>
        </w:tc>
        <w:tc>
          <w:tcPr>
            <w:tcW w:type="dxa" w:w="24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fact_Shipment, dim_Carrier</w:t>
            </w:r>
          </w:p>
        </w:tc>
        <w:tc>
          <w:tcPr>
            <w:tcW w:type="dxa" w:w="40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Tonnage reads 282.5m MT against a true 21.2m MT — 13× overstated. One row alone contributes 39.5m MT.</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B</w:t>
            </w:r>
          </w:p>
        </w:tc>
        <w:tc>
          <w:tcPr>
            <w:tcW w:type="dxa" w:w="30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Sign-normalise return quantities</w:t>
            </w:r>
          </w:p>
        </w:tc>
        <w:tc>
          <w:tcPr>
            <w:tcW w:type="dxa" w:w="24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fact_SalesOrder</w:t>
            </w:r>
          </w:p>
        </w:tc>
        <w:tc>
          <w:tcPr>
            <w:tcW w:type="dxa" w:w="40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Ordered volume inflates 4.11%, shipped 4.30%</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C</w:t>
            </w:r>
          </w:p>
        </w:tc>
        <w:tc>
          <w:tcPr>
            <w:tcW w:type="dxa" w:w="30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Cap sentinel dates at 2030</w:t>
            </w:r>
          </w:p>
        </w:tc>
        <w:tc>
          <w:tcPr>
            <w:tcW w:type="dxa" w:w="24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dim_SalesOrderLine</w:t>
            </w:r>
          </w:p>
        </w:tc>
        <w:tc>
          <w:tcPr>
            <w:tcW w:type="dxa" w:w="40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Date axes stretch to the year 2400</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D</w:t>
            </w:r>
          </w:p>
        </w:tc>
        <w:tc>
          <w:tcPr>
            <w:tcW w:type="dxa" w:w="30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Strip non-breaking spaces from reasons</w:t>
            </w:r>
          </w:p>
        </w:tc>
        <w:tc>
          <w:tcPr>
            <w:tcW w:type="dxa" w:w="24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dim_ReturnReason, bridge</w:t>
            </w:r>
          </w:p>
        </w:tc>
        <w:tc>
          <w:tcPr>
            <w:tcW w:type="dxa" w:w="40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13 real return reasons render as 15 categories</w:t>
            </w:r>
          </w:p>
        </w:tc>
      </w:tr>
    </w:tbl>
    <w:p>
      <w:pPr>
        <w:pStyle w:val="Heading2"/>
        <w:spacing w:after="140" w:before="300"/>
      </w:pPr>
      <w:r>
        <w:t xml:space="preserve">6.1 The malformed shipment rows</w:t>
      </w:r>
    </w:p>
    <w:p>
      <w:pPr>
        <w:spacing w:after="120"/>
      </w:pPr>
      <w:r>
        <w:rPr>
          <w:rFonts w:ascii="Calibri" w:cs="Calibri" w:eastAsia="Calibri" w:hAnsi="Calibri"/>
          <w:b/>
          <w:bCs/>
          <w:color w:val="C00000"/>
          <w:sz w:val="21"/>
          <w:szCs w:val="21"/>
        </w:rPr>
        <w:t xml:space="preserve">48 rows (0.06%) have shifted columns</w:t>
      </w:r>
      <w:r>
        <w:rPr>
          <w:rFonts w:ascii="Calibri" w:cs="Calibri" w:eastAsia="Calibri" w:hAnsi="Calibri"/>
          <w:sz w:val="21"/>
          <w:szCs w:val="21"/>
        </w:rPr>
        <w:t xml:space="preserve"> — values landed in the wrong fields, leaving Data_Source_Region containing things like "PER2", "9.6" and "XPO1", and pushing data into the trailing Unnamed columns. Tiny in count, catastrophic in effect.</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Clean = Table.SelectRows(Promoted, each</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List.Contains({"NAM", "EUR", "SAM", "AUS"}, [Data_Source_Region])),</w:t>
      </w:r>
    </w:p>
    <w:p>
      <w:pPr>
        <w:spacing w:after="110"/>
      </w:pPr>
      <w:r>
        <w:rPr>
          <w:sz w:val="8"/>
          <w:szCs w:val="8"/>
        </w:rPr>
        <w:t xml:space="preserve"/>
      </w:r>
    </w:p>
    <w:p>
      <w:pPr>
        <w:spacing w:after="160"/>
      </w:pPr>
      <w:r>
        <w:rPr>
          <w:rFonts w:ascii="Calibri" w:cs="Calibri" w:eastAsia="Calibri" w:hAnsi="Calibri"/>
          <w:sz w:val="21"/>
          <w:szCs w:val="21"/>
        </w:rPr>
        <w:t xml:space="preserve">Costs at most 3 valid LineKeys. The root cause is almost certainly an unescaped comma or embedded newline in a text field in the source extract — worth fixing upstream, since the same defect will recur on every refresh and may next time land on rows without an obviously wrong region value.</w:t>
      </w:r>
    </w:p>
    <w:p>
      <w:pPr>
        <w:pStyle w:val="Heading2"/>
        <w:spacing w:after="140" w:before="300"/>
      </w:pPr>
      <w:r>
        <w:t xml:space="preserve">6.2 The return sign problem</w:t>
      </w:r>
    </w:p>
    <w:p>
      <w:pPr>
        <w:spacing w:after="80"/>
      </w:pPr>
      <w:r>
        <w:rPr>
          <w:rFonts w:ascii="Calibri" w:cs="Calibri" w:eastAsia="Calibri" w:hAnsi="Calibri"/>
          <w:sz w:val="21"/>
          <w:szCs w:val="21"/>
        </w:rPr>
        <w:t xml:space="preserve">The source is internally inconsistent about the sign of return quantities. On the same 576 return lines:</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1900"/>
        <w:gridCol w:w="2736"/>
      </w:tblGrid>
      <w:tr>
        <w:trPr>
          <w:tblHeader/>
        </w:trPr>
        <w:tc>
          <w:tcPr>
            <w:tcW w:type="dxa" w:w="3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Column</w:t>
            </w:r>
          </w:p>
        </w:tc>
        <w:tc>
          <w:tcPr>
            <w:tcW w:type="dxa" w:w="1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Sign on returns</w:t>
            </w:r>
          </w:p>
        </w:tc>
        <w:tc>
          <w:tcPr>
            <w:tcW w:type="dxa" w:w="1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Return total</w:t>
            </w:r>
          </w:p>
        </w:tc>
        <w:tc>
          <w:tcPr>
            <w:tcW w:type="dxa" w:w="27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Correct as loaded?</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Line_Ordered_Qty_Metric_Ton</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Positive</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positive on returns</w:t>
            </w:r>
          </w:p>
        </w:tc>
        <w:tc>
          <w:tcPr>
            <w:tcW w:type="dxa" w:w="2736"/>
            <w:shd w:fill="FFFFFF" w:val="clear"/>
            <w:tcMar>
              <w:top w:type="dxa" w:w="60"/>
              <w:left w:type="dxa" w:w="90"/>
              <w:bottom w:type="dxa" w:w="60"/>
              <w:right w:type="dxa" w:w="90"/>
            </w:tcMar>
          </w:tcPr>
          <w:p>
            <w:pPr>
              <w:spacing w:after="0"/>
            </w:pPr>
            <w:r>
              <w:rPr>
                <w:rFonts w:ascii="Calibri" w:cs="Calibri" w:eastAsia="Calibri" w:hAnsi="Calibri"/>
                <w:color w:val="C00000"/>
                <w:sz w:val="17"/>
                <w:szCs w:val="17"/>
              </w:rPr>
              <w:t xml:space="preserve">No — inflates demand</w:t>
            </w:r>
          </w:p>
        </w:tc>
      </w:tr>
      <w:tr>
        <w:tc>
          <w:tcPr>
            <w:tcW w:type="dxa" w:w="3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Line_Shipped_Qty_Metric_Ton</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Positive</w:t>
            </w:r>
          </w:p>
        </w:tc>
        <w:tc>
          <w:tcPr>
            <w:tcW w:type="dxa" w:w="1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positive on returns</w:t>
            </w:r>
          </w:p>
        </w:tc>
        <w:tc>
          <w:tcPr>
            <w:tcW w:type="dxa" w:w="2736"/>
            <w:shd w:fill="F7F9FC" w:val="clear"/>
            <w:tcMar>
              <w:top w:type="dxa" w:w="60"/>
              <w:left w:type="dxa" w:w="90"/>
              <w:bottom w:type="dxa" w:w="60"/>
              <w:right w:type="dxa" w:w="90"/>
            </w:tcMar>
          </w:tcPr>
          <w:p>
            <w:pPr>
              <w:spacing w:after="0"/>
            </w:pPr>
            <w:r>
              <w:rPr>
                <w:rFonts w:ascii="Calibri" w:cs="Calibri" w:eastAsia="Calibri" w:hAnsi="Calibri"/>
                <w:color w:val="C00000"/>
                <w:sz w:val="17"/>
                <w:szCs w:val="17"/>
              </w:rPr>
              <w:t xml:space="preserve">No — inflates volume</w:t>
            </w:r>
          </w:p>
        </w:tc>
      </w:tr>
      <w:tr>
        <w:tc>
          <w:tcPr>
            <w:tcW w:type="dxa" w:w="3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Line_Invoiced_Qty_Metric_Ton</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Negative</w:t>
            </w:r>
          </w:p>
        </w:tc>
        <w:tc>
          <w:tcPr>
            <w:tcW w:type="dxa" w:w="1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already negative</w:t>
            </w:r>
          </w:p>
        </w:tc>
        <w:tc>
          <w:tcPr>
            <w:tcW w:type="dxa" w:w="2736"/>
            <w:shd w:fill="FFFFFF" w:val="clear"/>
            <w:tcMar>
              <w:top w:type="dxa" w:w="60"/>
              <w:left w:type="dxa" w:w="90"/>
              <w:bottom w:type="dxa" w:w="60"/>
              <w:right w:type="dxa" w:w="90"/>
            </w:tcMar>
          </w:tcPr>
          <w:p>
            <w:pPr>
              <w:spacing w:after="0"/>
            </w:pPr>
            <w:r>
              <w:rPr>
                <w:rFonts w:ascii="Calibri" w:cs="Calibri" w:eastAsia="Calibri" w:hAnsi="Calibri"/>
                <w:color w:val="2E7D32"/>
                <w:sz w:val="17"/>
                <w:szCs w:val="17"/>
              </w:rPr>
              <w:t xml:space="preserve">Yes — do not flip</w:t>
            </w:r>
          </w:p>
        </w:tc>
      </w:tr>
    </w:tbl>
    <w:p>
      <w:pPr>
        <w:spacing w:after="120"/>
      </w:pPr>
      <w:r>
        <w:rPr>
          <w:rFonts w:ascii="Calibri" w:cs="Calibri" w:eastAsia="Calibri" w:hAnsi="Calibri"/>
          <w:sz w:val="8"/>
          <w:szCs w:val="8"/>
        </w:rPr>
        <w:t xml:space="preserve"> </w:t>
      </w:r>
    </w:p>
    <w:p>
      <w:pPr>
        <w:spacing w:after="80"/>
      </w:pPr>
      <w:r>
        <w:rPr>
          <w:rFonts w:ascii="Calibri" w:cs="Calibri" w:eastAsia="Calibri" w:hAnsi="Calibri"/>
          <w:sz w:val="21"/>
          <w:szCs w:val="21"/>
        </w:rPr>
        <w:t xml:space="preserve">Ordered and shipped are stored positive; invoiced is stored negative. Load them untouched and the order book double-counts every return — once as an outbound order and again as the return of it. The fix is per-column, not a blanket flip.</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Ordered_MT_Signed = if [IsRet] then -1 * [Line_Ordered_Qty_Metric_Ton]</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else       [Line_Ordered_Qty_Metric_Ton]</w:t>
      </w:r>
    </w:p>
    <w:p>
      <w:pPr>
        <w:spacing w:after="110"/>
      </w:pPr>
      <w:r>
        <w:rPr>
          <w:sz w:val="8"/>
          <w:szCs w:val="8"/>
        </w:rPr>
        <w:t xml:space="preserve"/>
      </w:r>
    </w:p>
    <w:p>
      <w:pPr>
        <w:spacing w:after="120"/>
      </w:pPr>
      <w:r>
        <w:rPr>
          <w:rFonts w:ascii="Calibri" w:cs="Calibri" w:eastAsia="Calibri" w:hAnsi="Calibri"/>
          <w:sz w:val="6"/>
          <w:szCs w:val="6"/>
        </w:rPr>
        <w:t xml:space="preserve"> </w:t>
      </w:r>
    </w:p>
    <w:p>
      <w:pPr>
        <w:shd w:fill="EFF4FC" w:val="clear"/>
        <w:spacing w:after="0" w:before="130"/>
        <w:ind w:left="110" w:right="110"/>
      </w:pPr>
      <w:r>
        <w:rPr>
          <w:rFonts w:ascii="Calibri" w:cs="Calibri" w:eastAsia="Calibri" w:hAnsi="Calibri"/>
          <w:b/>
          <w:bCs/>
          <w:color w:val="274B87"/>
          <w:sz w:val="16"/>
          <w:szCs w:val="16"/>
        </w:rPr>
        <w:t xml:space="preserve">WHICH RETURN FLAG TO USE</w:t>
      </w:r>
    </w:p>
    <w:p>
      <w:pPr>
        <w:shd w:fill="EFF4FC" w:val="clear"/>
        <w:spacing w:after="150"/>
        <w:ind w:left="110" w:right="110"/>
      </w:pPr>
      <w:r>
        <w:rPr>
          <w:rFonts w:ascii="Calibri" w:cs="Calibri" w:eastAsia="Calibri" w:hAnsi="Calibri"/>
          <w:sz w:val="20"/>
          <w:szCs w:val="20"/>
        </w:rPr>
        <w:t xml:space="preserve">Four indicators exist and they disagree. Line_Category_Code = 'RETURN' and Line_Return_Reason_Code each catch all 576 returns and agree on every single row. Line_Type_Name containing RMA catches only 142 (25%), and Quick_RMA_Original_Line_Id catches 8 (1.4%). Every RMA row is a return, but most returns are not RMA-flagged. The model ORs all four so the definition survives a source change.</w:t>
      </w:r>
    </w:p>
    <w:p>
      <w:pPr>
        <w:pStyle w:val="Heading2"/>
        <w:spacing w:after="140" w:before="300"/>
      </w:pPr>
      <w:r>
        <w:t xml:space="preserve">6.3 Returns never reach the shipment fact</w:t>
      </w:r>
    </w:p>
    <w:p>
      <w:pPr>
        <w:spacing w:after="120"/>
      </w:pPr>
      <w:r>
        <w:rPr>
          <w:rFonts w:ascii="Calibri" w:cs="Calibri" w:eastAsia="Calibri" w:hAnsi="Calibri"/>
          <w:b/>
          <w:bCs/>
          <w:sz w:val="21"/>
          <w:szCs w:val="21"/>
        </w:rPr>
        <w:t xml:space="preserve">Zero of the 608 return lines appear in f_Shipment.</w:t>
      </w:r>
      <w:r>
        <w:rPr>
          <w:rFonts w:ascii="Calibri" w:cs="Calibri" w:eastAsia="Calibri" w:hAnsi="Calibri"/>
          <w:sz w:val="21"/>
          <w:szCs w:val="21"/>
        </w:rPr>
        <w:t xml:space="preserve"> That is correct — a return is an inbound receipt, not an outbound delivery, so it never generates a delivery detail record. Two consequences: a slicer set to Returns only will correctly blank every shipment measure (do not "fix" that with bidirectional filtering), and Delivery_Detail_Returned_Qty_MT sums to zero across all 84,505 clean rows, so it carries no information and is dropped.</w:t>
      </w:r>
    </w:p>
    <w:p>
      <w:pPr>
        <w:pStyle w:val="Heading2"/>
        <w:spacing w:after="140" w:before="300"/>
      </w:pPr>
      <w:r>
        <w:t xml:space="preserve">6.4 Credit memos are a separate, larger population</w:t>
      </w:r>
    </w:p>
    <w:p>
      <w:pPr>
        <w:spacing w:after="80"/>
      </w:pPr>
      <w:r>
        <w:rPr>
          <w:rFonts w:ascii="Calibri" w:cs="Calibri" w:eastAsia="Calibri" w:hAnsi="Calibri"/>
          <w:sz w:val="21"/>
          <w:szCs w:val="21"/>
        </w:rPr>
        <w:t xml:space="preserve">Do not assume returns and credit memos are the same thing.</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400"/>
        <w:gridCol w:w="3236"/>
      </w:tblGrid>
      <w:tr>
        <w:trPr>
          <w:tblHeader/>
        </w:trPr>
        <w:tc>
          <w:tcPr>
            <w:tcW w:type="dxa" w:w="3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Population</w:t>
            </w:r>
          </w:p>
        </w:tc>
        <w:tc>
          <w:tcPr>
            <w:tcW w:type="dxa" w:w="13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Rows</w:t>
            </w:r>
          </w:p>
        </w:tc>
        <w:tc>
          <w:tcPr>
            <w:tcW w:type="dxa" w:w="2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Revenue USD</w:t>
            </w:r>
          </w:p>
        </w:tc>
        <w:tc>
          <w:tcPr>
            <w:tcW w:type="dxa" w:w="32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How to identify</w:t>
            </w:r>
          </w:p>
        </w:tc>
      </w:tr>
      <w:tr>
        <w:tc>
          <w:tcPr>
            <w:tcW w:type="dxa" w:w="3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Invoice lines on a return order</w:t>
            </w:r>
          </w:p>
        </w:tc>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475</w:t>
            </w:r>
          </w:p>
        </w:tc>
        <w:tc>
          <w:tcPr>
            <w:tcW w:type="dxa" w:w="2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−180,851,484</w:t>
            </w:r>
          </w:p>
        </w:tc>
        <w:tc>
          <w:tcPr>
            <w:tcW w:type="dxa" w:w="3236"/>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LineKey in the return set</w:t>
            </w:r>
          </w:p>
        </w:tc>
      </w:tr>
      <w:tr>
        <w:tc>
          <w:tcPr>
            <w:tcW w:type="dxa" w:w="3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All credit memo lines</w:t>
            </w:r>
          </w:p>
        </w:tc>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4,925</w:t>
            </w:r>
          </w:p>
        </w:tc>
        <w:tc>
          <w:tcPr>
            <w:tcW w:type="dxa" w:w="2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−229,759,286</w:t>
            </w:r>
          </w:p>
        </w:tc>
        <w:tc>
          <w:tcPr>
            <w:tcW w:type="dxa" w:w="3236"/>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The rule below</w:t>
            </w:r>
          </w:p>
        </w:tc>
      </w:tr>
      <w:tr>
        <w:tc>
          <w:tcPr>
            <w:tcW w:type="dxa" w:w="3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All negative-revenue lines</w:t>
            </w:r>
          </w:p>
        </w:tc>
        <w:tc>
          <w:tcPr>
            <w:tcW w:type="dxa" w:w="13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4,652</w:t>
            </w:r>
          </w:p>
        </w:tc>
        <w:tc>
          <w:tcPr>
            <w:tcW w:type="dxa" w:w="2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−266,681,313</w:t>
            </w:r>
          </w:p>
        </w:tc>
        <w:tc>
          <w:tcPr>
            <w:tcW w:type="dxa" w:w="3236"/>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Revenue_USD &lt; 0</w:t>
            </w:r>
          </w:p>
        </w:tc>
      </w:tr>
      <w:tr>
        <w:tc>
          <w:tcPr>
            <w:tcW w:type="dxa" w:w="3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Gross positive revenue</w:t>
            </w:r>
          </w:p>
        </w:tc>
        <w:tc>
          <w:tcPr>
            <w:tcW w:type="dxa" w:w="13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74,924</w:t>
            </w:r>
          </w:p>
        </w:tc>
        <w:tc>
          <w:tcPr>
            <w:tcW w:type="dxa" w:w="2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+15,336,796,477</w:t>
            </w:r>
          </w:p>
        </w:tc>
        <w:tc>
          <w:tcPr>
            <w:tcW w:type="dxa" w:w="3236"/>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Revenue_USD &gt; 0</w:t>
            </w:r>
          </w:p>
        </w:tc>
      </w:tr>
    </w:tbl>
    <w:p>
      <w:pPr>
        <w:spacing w:after="120"/>
      </w:pPr>
      <w:r>
        <w:rPr>
          <w:rFonts w:ascii="Calibri" w:cs="Calibri" w:eastAsia="Calibri" w:hAnsi="Calibri"/>
          <w:sz w:val="8"/>
          <w:szCs w:val="8"/>
        </w:rPr>
        <w:t xml:space="preserve"> </w:t>
      </w:r>
    </w:p>
    <w:p>
      <w:pPr>
        <w:spacing w:after="80"/>
      </w:pPr>
      <w:r>
        <w:rPr>
          <w:rFonts w:ascii="Calibri" w:cs="Calibri" w:eastAsia="Calibri" w:hAnsi="Calibri"/>
          <w:sz w:val="21"/>
          <w:szCs w:val="21"/>
        </w:rPr>
        <w:t xml:space="preserve">Only 475 invoice lines tie back to a return order, but 4,925 are credit memos — the other 4,450 are AR-side adjustments with no return order behind them at all. Filtering the invoice fact by the sales-order return flag finds under 10% of your credits. A five-part OR captures every credit with no residue, verified to leave exactly zero negative revenue outside it:</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Is_Credit_Memo =</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Text.Contains(Text.Upper([Transaction_Type]), "CM")</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Text.Contains(Text.Upper([Transaction_Type]), "CRD")</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Text.Contains(Text.Upper([Transaction_Type]), "_NC")</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[Line_Revenue_Amount_USD] &lt; 0</w:t>
      </w:r>
    </w:p>
    <w:p>
      <w:pPr>
        <w:shd w:fill="F4F6FA" w:val="clear"/>
        <w:spacing w:after="0" w:line="225" w:lineRule="exact"/>
        <w:ind w:left="110" w:right="110"/>
      </w:pPr>
      <w:r>
        <w:rPr>
          <w:rFonts w:ascii="Consolas" w:cs="Consolas" w:eastAsia="Consolas" w:hAnsi="Consolas"/>
          <w:i w:val="false"/>
          <w:iCs w:val="false"/>
          <w:color w:val="1A1F2B"/>
          <w:sz w:val="15"/>
          <w:szCs w:val="15"/>
        </w:rPr>
        <w:t xml:space="preserve">    or [Line_Quantity_Credited_MT] &lt;&gt; null</w:t>
      </w:r>
    </w:p>
    <w:p>
      <w:pPr>
        <w:spacing w:after="110"/>
      </w:pPr>
      <w:r>
        <w:rPr>
          <w:sz w:val="8"/>
          <w:szCs w:val="8"/>
        </w:rPr>
        <w:t xml:space="preserve"/>
      </w:r>
    </w:p>
    <w:p>
      <w:pPr>
        <w:shd w:fill="FEF1EF" w:val="clear"/>
        <w:spacing w:after="0" w:before="130"/>
        <w:ind w:left="110" w:right="110"/>
      </w:pPr>
      <w:r>
        <w:rPr>
          <w:rFonts w:ascii="Calibri" w:cs="Calibri" w:eastAsia="Calibri" w:hAnsi="Calibri"/>
          <w:b/>
          <w:bCs/>
          <w:color w:val="96261C"/>
          <w:sz w:val="16"/>
          <w:szCs w:val="16"/>
        </w:rPr>
        <w:t xml:space="preserve">THE QUANTITY COLUMNS ARE MUTUALLY EXCLUSIVE</w:t>
      </w:r>
    </w:p>
    <w:p>
      <w:pPr>
        <w:shd w:fill="FEF1EF" w:val="clear"/>
        <w:spacing w:after="150"/>
        <w:ind w:left="110" w:right="110"/>
      </w:pPr>
      <w:r>
        <w:rPr>
          <w:rFonts w:ascii="Calibri" w:cs="Calibri" w:eastAsia="Calibri" w:hAnsi="Calibri"/>
          <w:sz w:val="20"/>
          <w:szCs w:val="20"/>
        </w:rPr>
        <w:t xml:space="preserve">Of the 4,569 rows carrying a credited quantity, not one also carries an invoiced quantity. Summing only Line_Quantity_Invoiced_MT silently ignores every credit. Invoiced MT adds both columns — that is not redundancy, it is required.</w:t>
      </w:r>
    </w:p>
    <w:p>
      <w:pPr>
        <w:pStyle w:val="Heading2"/>
        <w:spacing w:after="140" w:before="300"/>
      </w:pPr>
      <w:r>
        <w:t xml:space="preserve">6.5 Naming the return metric</w:t>
      </w:r>
    </w:p>
    <w:p>
      <w:pPr>
        <w:spacing w:after="80"/>
      </w:pPr>
      <w:r>
        <w:rPr>
          <w:rFonts w:ascii="Calibri" w:cs="Calibri" w:eastAsia="Calibri" w:hAnsi="Calibri"/>
          <w:sz w:val="21"/>
          <w:szCs w:val="21"/>
        </w:rPr>
        <w:t xml:space="preserve">Only 36 of 576 returns are RETURNED/REJECTED INVENTORY. The rest are price adjustments, freight and demurrage, and input errors.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4400"/>
        <w:gridCol w:w="1600"/>
        <w:gridCol w:w="1600"/>
      </w:tblGrid>
      <w:tr>
        <w:trPr>
          <w:tblHeader/>
        </w:trPr>
        <w:tc>
          <w:tcPr>
            <w:tcW w:type="dxa" w:w="4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Reason group</w:t>
            </w:r>
          </w:p>
        </w:tc>
        <w:tc>
          <w:tcPr>
            <w:tcW w:type="dxa" w:w="1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Lines</w:t>
            </w:r>
          </w:p>
        </w:tc>
        <w:tc>
          <w:tcPr>
            <w:tcW w:type="dxa" w:w="1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Share</w:t>
            </w:r>
          </w:p>
        </w:tc>
      </w:tr>
      <w:tr>
        <w:tc>
          <w:tcPr>
            <w:tcW w:type="dxa" w:w="4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Commercial adjustment</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~170</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29.5%</w:t>
            </w:r>
          </w:p>
        </w:tc>
      </w:tr>
      <w:tr>
        <w:tc>
          <w:tcPr>
            <w:tcW w:type="dxa" w:w="4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Logistics / service</w:t>
            </w:r>
          </w:p>
        </w:tc>
        <w:tc>
          <w:tcPr>
            <w:tcW w:type="dxa" w:w="16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~168</w:t>
            </w:r>
          </w:p>
        </w:tc>
        <w:tc>
          <w:tcPr>
            <w:tcW w:type="dxa" w:w="16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29.2%</w:t>
            </w:r>
          </w:p>
        </w:tc>
      </w:tr>
      <w:tr>
        <w:tc>
          <w:tcPr>
            <w:tcW w:type="dxa" w:w="4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Process error</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~105</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18.2%</w:t>
            </w:r>
          </w:p>
        </w:tc>
      </w:tr>
      <w:tr>
        <w:tc>
          <w:tcPr>
            <w:tcW w:type="dxa" w:w="4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Uncategorised</w:t>
            </w:r>
          </w:p>
        </w:tc>
        <w:tc>
          <w:tcPr>
            <w:tcW w:type="dxa" w:w="16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~97</w:t>
            </w:r>
          </w:p>
        </w:tc>
        <w:tc>
          <w:tcPr>
            <w:tcW w:type="dxa" w:w="16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16.8%</w:t>
            </w:r>
          </w:p>
        </w:tc>
      </w:tr>
      <w:tr>
        <w:tc>
          <w:tcPr>
            <w:tcW w:type="dxa" w:w="4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Product quality</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36</w:t>
            </w:r>
          </w:p>
        </w:tc>
        <w:tc>
          <w:tcPr>
            <w:tcW w:type="dxa" w:w="16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6.3%</w:t>
            </w:r>
          </w:p>
        </w:tc>
      </w:tr>
    </w:tbl>
    <w:p>
      <w:pPr>
        <w:spacing w:after="120"/>
      </w:pPr>
      <w:r>
        <w:rPr>
          <w:rFonts w:ascii="Calibri" w:cs="Calibri" w:eastAsia="Calibri" w:hAnsi="Calibri"/>
          <w:sz w:val="8"/>
          <w:szCs w:val="8"/>
        </w:rPr>
        <w:t xml:space="preserve"> </w:t>
      </w:r>
    </w:p>
    <w:p>
      <w:pPr>
        <w:shd w:fill="FFF9EE" w:val="clear"/>
        <w:spacing w:after="0" w:before="130"/>
        <w:ind w:left="110" w:right="110"/>
      </w:pPr>
      <w:r>
        <w:rPr>
          <w:rFonts w:ascii="Calibri" w:cs="Calibri" w:eastAsia="Calibri" w:hAnsi="Calibri"/>
          <w:b/>
          <w:bCs/>
          <w:color w:val="96601A"/>
          <w:sz w:val="16"/>
          <w:szCs w:val="16"/>
        </w:rPr>
        <w:t xml:space="preserve">LABEL IT CREDIT NOTE RATE</w:t>
      </w:r>
    </w:p>
    <w:p>
      <w:pPr>
        <w:shd w:fill="FFF9EE" w:val="clear"/>
        <w:spacing w:after="150"/>
        <w:ind w:left="110" w:right="110"/>
      </w:pPr>
      <w:r>
        <w:rPr>
          <w:rFonts w:ascii="Calibri" w:cs="Calibri" w:eastAsia="Calibri" w:hAnsi="Calibri"/>
          <w:sz w:val="20"/>
          <w:szCs w:val="20"/>
        </w:rPr>
        <w:t xml:space="preserve">A metric called "return rate" built on this flag measures invoicing accuracy, not product quality. Anyone senior shown 0.89% will read it as a quality signal and draw the wrong conclusion. Use Physical Return Rate % (0.05%) for anything quality-related — both measures are in the catalogue.</w:t>
      </w:r>
    </w:p>
    <w:p>
      <w:r>
        <w:br w:type="page"/>
      </w:r>
    </w:p>
    <w:p>
      <w:pPr>
        <w:pStyle w:val="Heading1"/>
        <w:spacing w:after="140" w:before="300"/>
      </w:pPr>
      <w:r>
        <w:t xml:space="preserve">7. Measures</w:t>
      </w:r>
    </w:p>
    <w:p>
      <w:pPr>
        <w:spacing w:after="120"/>
      </w:pPr>
      <w:r>
        <w:rPr>
          <w:rFonts w:ascii="Calibri" w:cs="Calibri" w:eastAsia="Calibri" w:hAnsi="Calibri"/>
          <w:sz w:val="21"/>
          <w:szCs w:val="21"/>
        </w:rPr>
        <w:t xml:space="preserve">131 measures in 12 display folders, plus 7 calculated columns. Full DAX is in 03_DAX_All.dax; the catalogue with sample values is in 04_KPI_Catalogue.xlsx. This section covers only what needs explaining.</w:t>
      </w:r>
    </w:p>
    <w:p>
      <w:pPr>
        <w:spacing w:after="120"/>
      </w:pPr>
      <w:r>
        <w:rPr>
          <w:rFonts w:ascii="Calibri" w:cs="Calibri" w:eastAsia="Calibri" w:hAnsi="Calibri"/>
          <w:sz w:val="8"/>
          <w:szCs w:val="8"/>
        </w:rPr>
        <w:t xml:space="preserve"> </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436"/>
      </w:tblGrid>
      <w:tr>
        <w:trPr>
          <w:tblHeader/>
        </w:trPr>
        <w:tc>
          <w:tcPr>
            <w:tcW w:type="dxa" w:w="2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Folder</w:t>
            </w:r>
          </w:p>
        </w:tc>
        <w:tc>
          <w:tcPr>
            <w:tcW w:type="dxa" w:w="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Count</w:t>
            </w:r>
          </w:p>
        </w:tc>
        <w:tc>
          <w:tcPr>
            <w:tcW w:type="dxa" w:w="64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Covers</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01 Base</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13</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Raw sums everything else builds on</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02 Currency</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19</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FX coverage, rate basis, forward exposure and guards</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03 Commercial</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9</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Price, revenue per line, time intelligence</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04 Price Bridge</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19</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Commodity base and premium decomposition</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05 Revenue Quality</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7</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Credit notes and billing accuracy</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06 Order to Cash</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10</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Fulfilment, billing, backlog conversion</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07 Service</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15</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On-time performance, cycle time, OTIF</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08 Logistics</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15</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Deliveries, carriers, weight, export mix</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09 Returns &amp; Credits</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8</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Return volume, rate and root cause</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10 Customer &amp; Product</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9</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Concentration, ranking, Pareto</w:t>
            </w:r>
          </w:p>
        </w:tc>
      </w:tr>
      <w:tr>
        <w:tc>
          <w:tcPr>
            <w:tcW w:type="dxa" w:w="26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11 Data Quality</w:t>
            </w:r>
          </w:p>
        </w:tc>
        <w:tc>
          <w:tcPr>
            <w:tcW w:type="dxa" w:w="9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5</w:t>
            </w:r>
          </w:p>
        </w:tc>
        <w:tc>
          <w:tcPr>
            <w:tcW w:type="dxa" w:w="64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Model guard rails</w:t>
            </w:r>
          </w:p>
        </w:tc>
      </w:tr>
      <w:tr>
        <w:tc>
          <w:tcPr>
            <w:tcW w:type="dxa" w:w="26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12 Report Helpers</w:t>
            </w:r>
          </w:p>
        </w:tc>
        <w:tc>
          <w:tcPr>
            <w:tcW w:type="dxa" w:w="9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w:t>
            </w:r>
          </w:p>
        </w:tc>
        <w:tc>
          <w:tcPr>
            <w:tcW w:type="dxa" w:w="64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Dynamic titles and warnings</w:t>
            </w:r>
          </w:p>
        </w:tc>
      </w:tr>
    </w:tbl>
    <w:p>
      <w:pPr>
        <w:pStyle w:val="Heading2"/>
        <w:spacing w:after="140" w:before="300"/>
      </w:pPr>
      <w:r>
        <w:t xml:space="preserve">7.1 Three measures that are easy to get wrong</w:t>
      </w:r>
    </w:p>
    <w:p>
      <w:pPr>
        <w:spacing w:after="120"/>
      </w:pPr>
      <w:r>
        <w:rPr>
          <w:rFonts w:ascii="Consolas" w:cs="Consolas" w:eastAsia="Consolas" w:hAnsi="Consolas"/>
          <w:b/>
          <w:bCs/>
          <w:sz w:val="20"/>
          <w:szCs w:val="20"/>
        </w:rPr>
        <w:t xml:space="preserve">Invoiced MT</w:t>
      </w:r>
      <w:r>
        <w:rPr>
          <w:rFonts w:ascii="Calibri" w:cs="Calibri" w:eastAsia="Calibri" w:hAnsi="Calibri"/>
          <w:sz w:val="21"/>
          <w:szCs w:val="21"/>
        </w:rPr>
        <w:t xml:space="preserve"> adds Qty_Invoiced_MT and Qty_Credited_MT. The columns are mutually exclusive, so summing only the first drops every credit.</w:t>
      </w:r>
    </w:p>
    <w:p>
      <w:pPr>
        <w:spacing w:after="120"/>
      </w:pPr>
      <w:r>
        <w:rPr>
          <w:rFonts w:ascii="Consolas" w:cs="Consolas" w:eastAsia="Consolas" w:hAnsi="Consolas"/>
          <w:b/>
          <w:bCs/>
          <w:sz w:val="20"/>
          <w:szCs w:val="20"/>
        </w:rPr>
        <w:t xml:space="preserve">Ordered MT</w:t>
      </w:r>
      <w:r>
        <w:rPr>
          <w:rFonts w:ascii="Calibri" w:cs="Calibri" w:eastAsia="Calibri" w:hAnsi="Calibri"/>
          <w:sz w:val="21"/>
          <w:szCs w:val="21"/>
        </w:rPr>
        <w:t xml:space="preserve"> reads Ordered_MT_Signed, never the raw source column. Repointing it would still refresh, still look correct, and be wrong by 4%.</w:t>
      </w:r>
    </w:p>
    <w:p>
      <w:pPr>
        <w:spacing w:after="120"/>
      </w:pPr>
      <w:r>
        <w:rPr>
          <w:rFonts w:ascii="Consolas" w:cs="Consolas" w:eastAsia="Consolas" w:hAnsi="Consolas"/>
          <w:b/>
          <w:bCs/>
          <w:sz w:val="20"/>
          <w:szCs w:val="20"/>
        </w:rPr>
        <w:t xml:space="preserve">Avg Selling Price USD</w:t>
      </w:r>
      <w:r>
        <w:rPr>
          <w:rFonts w:ascii="Calibri" w:cs="Calibri" w:eastAsia="Calibri" w:hAnsi="Calibri"/>
          <w:sz w:val="21"/>
          <w:szCs w:val="21"/>
        </w:rPr>
        <w:t xml:space="preserve"> filters out the unconvertible rows. Never average Unit_Selling_Price_Local — nine currencies in one column, and it will always return a number.</w:t>
      </w:r>
    </w:p>
    <w:p>
      <w:pPr>
        <w:pStyle w:val="Heading2"/>
        <w:spacing w:after="140" w:before="300"/>
      </w:pPr>
      <w:r>
        <w:t xml:space="preserve">7.2 The price bridge is a NAM and EUR view</w:t>
      </w:r>
    </w:p>
    <w:p>
      <w:pPr>
        <w:spacing w:after="80"/>
      </w:pPr>
      <w:r>
        <w:rPr>
          <w:rFonts w:ascii="Calibri" w:cs="Calibri" w:eastAsia="Calibri" w:hAnsi="Calibri"/>
          <w:sz w:val="21"/>
          <w:szCs w:val="21"/>
        </w:rPr>
        <w:t xml:space="preserve">The premium breakdown is populated on 76.2% of invoice lines and reconciles to realised price within 0.71% on those rows. The 21.7% of revenue it does not cover is entirely SAM and AUS — Brazilian LALC transaction types and Australian lines carry no breakdown at all.</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400"/>
        <w:gridCol w:w="4636"/>
      </w:tblGrid>
      <w:tr>
        <w:trPr>
          <w:tblHeader/>
        </w:trPr>
        <w:tc>
          <w:tcPr>
            <w:tcW w:type="dxa" w:w="2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Component</w:t>
            </w:r>
          </w:p>
        </w:tc>
        <w:tc>
          <w:tcPr>
            <w:tcW w:type="dxa" w:w="1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YTD value</w:t>
            </w:r>
          </w:p>
        </w:tc>
        <w:tc>
          <w:tcPr>
            <w:tcW w:type="dxa" w:w="1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Per tonne</w:t>
            </w:r>
          </w:p>
        </w:tc>
        <w:tc>
          <w:tcPr>
            <w:tcW w:type="dxa" w:w="46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Note</w:t>
            </w:r>
          </w:p>
        </w:tc>
      </w:tr>
      <w:tr>
        <w:tc>
          <w:tcPr>
            <w:tcW w:type="dxa" w:w="2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Base</w:t>
            </w:r>
          </w:p>
        </w:tc>
        <w:tc>
          <w:tcPr>
            <w:tcW w:type="dxa" w:w="15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$8,950m</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$804.60</w:t>
            </w:r>
          </w:p>
        </w:tc>
        <w:tc>
          <w:tcPr>
            <w:tcW w:type="dxa" w:w="46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Commodity base — 59.5% of bridge revenue</w:t>
            </w:r>
          </w:p>
        </w:tc>
      </w:tr>
      <w:tr>
        <w:tc>
          <w:tcPr>
            <w:tcW w:type="dxa" w:w="2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Regional premium</w:t>
            </w:r>
          </w:p>
        </w:tc>
        <w:tc>
          <w:tcPr>
            <w:tcW w:type="dxa" w:w="15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$2,507m</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$225.36</w:t>
            </w:r>
          </w:p>
        </w:tc>
        <w:tc>
          <w:tcPr>
            <w:tcW w:type="dxa" w:w="46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Geographic pricing power, 87% of all premium</w:t>
            </w:r>
          </w:p>
        </w:tc>
      </w:tr>
      <w:tr>
        <w:tc>
          <w:tcPr>
            <w:tcW w:type="dxa" w:w="2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Product premium</w:t>
            </w:r>
          </w:p>
        </w:tc>
        <w:tc>
          <w:tcPr>
            <w:tcW w:type="dxa" w:w="15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$373m</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$33.52</w:t>
            </w:r>
          </w:p>
        </w:tc>
        <w:tc>
          <w:tcPr>
            <w:tcW w:type="dxa" w:w="46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Value-add above commodity spec</w:t>
            </w:r>
          </w:p>
        </w:tc>
      </w:tr>
      <w:tr>
        <w:tc>
          <w:tcPr>
            <w:tcW w:type="dxa" w:w="2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Green premium</w:t>
            </w:r>
          </w:p>
        </w:tc>
        <w:tc>
          <w:tcPr>
            <w:tcW w:type="dxa" w:w="15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$7.5m</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$0.67</w:t>
            </w:r>
          </w:p>
        </w:tc>
        <w:tc>
          <w:tcPr>
            <w:tcW w:type="dxa" w:w="46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Low-carbon premium — flat all year at 8.4–9.9% penetration</w:t>
            </w:r>
          </w:p>
        </w:tc>
      </w:tr>
      <w:tr>
        <w:tc>
          <w:tcPr>
            <w:tcW w:type="dxa" w:w="2400"/>
            <w:shd w:fill="FFFFFF" w:val="clear"/>
            <w:tcMar>
              <w:top w:type="dxa" w:w="60"/>
              <w:left w:type="dxa" w:w="90"/>
              <w:bottom w:type="dxa" w:w="60"/>
              <w:right w:type="dxa" w:w="90"/>
            </w:tcMar>
          </w:tcPr>
          <w:p>
            <w:pPr>
              <w:spacing w:after="0"/>
            </w:pPr>
            <w:r>
              <w:rPr>
                <w:rFonts w:ascii="Consolas" w:cs="Consolas" w:eastAsia="Consolas" w:hAnsi="Consolas"/>
                <w:sz w:val="17"/>
                <w:szCs w:val="17"/>
              </w:rPr>
              <w:t xml:space="preserve">Tariff</w:t>
            </w:r>
          </w:p>
        </w:tc>
        <w:tc>
          <w:tcPr>
            <w:tcW w:type="dxa" w:w="15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$28.4m</w:t>
            </w:r>
          </w:p>
        </w:tc>
        <w:tc>
          <w:tcPr>
            <w:tcW w:type="dxa" w:w="1400"/>
            <w:shd w:fill="FFFFFF" w:val="clear"/>
            <w:tcMar>
              <w:top w:type="dxa" w:w="60"/>
              <w:left w:type="dxa" w:w="90"/>
              <w:bottom w:type="dxa" w:w="60"/>
              <w:right w:type="dxa" w:w="90"/>
            </w:tcMar>
          </w:tcPr>
          <w:p>
            <w:pPr>
              <w:spacing w:after="0"/>
              <w:jc w:val="center"/>
            </w:pPr>
            <w:r>
              <w:rPr>
                <w:rFonts w:ascii="Calibri" w:cs="Calibri" w:eastAsia="Calibri" w:hAnsi="Calibri"/>
                <w:sz w:val="17"/>
                <w:szCs w:val="17"/>
              </w:rPr>
              <w:t xml:space="preserve">$2.55</w:t>
            </w:r>
          </w:p>
        </w:tc>
        <w:tc>
          <w:tcPr>
            <w:tcW w:type="dxa" w:w="46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Trade cost passed through</w:t>
            </w:r>
          </w:p>
        </w:tc>
      </w:tr>
      <w:tr>
        <w:tc>
          <w:tcPr>
            <w:tcW w:type="dxa" w:w="2400"/>
            <w:shd w:fill="F7F9FC" w:val="clear"/>
            <w:tcMar>
              <w:top w:type="dxa" w:w="60"/>
              <w:left w:type="dxa" w:w="90"/>
              <w:bottom w:type="dxa" w:w="60"/>
              <w:right w:type="dxa" w:w="90"/>
            </w:tcMar>
          </w:tcPr>
          <w:p>
            <w:pPr>
              <w:spacing w:after="0"/>
            </w:pPr>
            <w:r>
              <w:rPr>
                <w:rFonts w:ascii="Consolas" w:cs="Consolas" w:eastAsia="Consolas" w:hAnsi="Consolas"/>
                <w:sz w:val="17"/>
                <w:szCs w:val="17"/>
              </w:rPr>
              <w:t xml:space="preserve">Alloy</w:t>
            </w:r>
          </w:p>
        </w:tc>
        <w:tc>
          <w:tcPr>
            <w:tcW w:type="dxa" w:w="15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−$5.6m</w:t>
            </w:r>
          </w:p>
        </w:tc>
        <w:tc>
          <w:tcPr>
            <w:tcW w:type="dxa" w:w="1400"/>
            <w:shd w:fill="F7F9FC" w:val="clear"/>
            <w:tcMar>
              <w:top w:type="dxa" w:w="60"/>
              <w:left w:type="dxa" w:w="90"/>
              <w:bottom w:type="dxa" w:w="60"/>
              <w:right w:type="dxa" w:w="90"/>
            </w:tcMar>
          </w:tcPr>
          <w:p>
            <w:pPr>
              <w:spacing w:after="0"/>
              <w:jc w:val="center"/>
            </w:pPr>
            <w:r>
              <w:rPr>
                <w:rFonts w:ascii="Calibri" w:cs="Calibri" w:eastAsia="Calibri" w:hAnsi="Calibri"/>
                <w:sz w:val="17"/>
                <w:szCs w:val="17"/>
              </w:rPr>
              <w:t xml:space="preserve">−$0.50</w:t>
            </w:r>
          </w:p>
        </w:tc>
        <w:tc>
          <w:tcPr>
            <w:tcW w:type="dxa" w:w="46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Net negative — worth confirming this is expected</w:t>
            </w:r>
          </w:p>
        </w:tc>
      </w:tr>
    </w:tbl>
    <w:p>
      <w:pPr>
        <w:spacing w:after="120"/>
      </w:pPr>
      <w:r>
        <w:rPr>
          <w:rFonts w:ascii="Calibri" w:cs="Calibri" w:eastAsia="Calibri" w:hAnsi="Calibri"/>
          <w:sz w:val="8"/>
          <w:szCs w:val="8"/>
        </w:rPr>
        <w:t xml:space="preserve"> </w:t>
      </w:r>
    </w:p>
    <w:p>
      <w:pPr>
        <w:shd w:fill="FFF9EE" w:val="clear"/>
        <w:spacing w:after="0" w:before="130"/>
        <w:ind w:left="110" w:right="110"/>
      </w:pPr>
      <w:r>
        <w:rPr>
          <w:rFonts w:ascii="Calibri" w:cs="Calibri" w:eastAsia="Calibri" w:hAnsi="Calibri"/>
          <w:b/>
          <w:bCs/>
          <w:color w:val="96601A"/>
          <w:sz w:val="16"/>
          <w:szCs w:val="16"/>
        </w:rPr>
        <w:t xml:space="preserve">ALWAYS SHOW COVERAGE NEXT TO A BRIDGE VISUAL</w:t>
      </w:r>
    </w:p>
    <w:p>
      <w:pPr>
        <w:shd w:fill="FFF9EE" w:val="clear"/>
        <w:spacing w:after="150"/>
        <w:ind w:left="110" w:right="110"/>
      </w:pPr>
      <w:r>
        <w:rPr>
          <w:rFonts w:ascii="Calibri" w:cs="Calibri" w:eastAsia="Calibri" w:hAnsi="Calibri"/>
          <w:sz w:val="20"/>
          <w:szCs w:val="20"/>
        </w:rPr>
        <w:t xml:space="preserve">Premium % of Revenue divides by Bridge Revenue USD, not total revenue, so the ratio itself is honest. But a bridge chart with no coverage caption invites the reader to assume it describes the whole business when it describes three-quarters of it. Price Bridge Coverage % exists for exactly this.</w:t>
      </w:r>
    </w:p>
    <w:p>
      <w:pPr>
        <w:pStyle w:val="Heading2"/>
        <w:spacing w:after="140" w:before="300"/>
      </w:pPr>
      <w:r>
        <w:t xml:space="preserve">7.3 The credit rate needs the invoice-date relationship</w:t>
      </w:r>
    </w:p>
    <w:p>
      <w:pPr>
        <w:spacing w:after="150"/>
      </w:pPr>
      <w:r>
        <w:rPr>
          <w:rFonts w:ascii="Calibri" w:cs="Calibri" w:eastAsia="Calibri" w:hAnsi="Calibri"/>
          <w:sz w:val="21"/>
          <w:szCs w:val="21"/>
        </w:rPr>
        <w:t xml:space="preserve">Credit Rate by Invoice Date activates the inactive relationship with USERELATIONSHIP. This is not a stylistic choice — on the order-date timeline the credits are smeared back across the months the original orders were placed, and the trend disappears. On the invoice-date timeline it is the clearest signal in the dataset: 0.19% in March rising to 3.90% in July, with 69% of all credit value concentrated in 10 customer accounts.</w:t>
      </w:r>
    </w:p>
    <w:p>
      <w:pPr>
        <w:pStyle w:val="Heading2"/>
        <w:spacing w:after="140" w:before="300"/>
      </w:pPr>
      <w:r>
        <w:t xml:space="preserve">7.4 Report the median cycle time</w:t>
      </w:r>
    </w:p>
    <w:p>
      <w:pPr>
        <w:spacing w:after="150"/>
      </w:pPr>
      <w:r>
        <w:rPr>
          <w:rFonts w:ascii="Calibri" w:cs="Calibri" w:eastAsia="Calibri" w:hAnsi="Calibri"/>
          <w:sz w:val="21"/>
          <w:szCs w:val="21"/>
        </w:rPr>
        <w:t xml:space="preserve">Median order-to-ship is 27.2 days; the mean is 56.3, dragged there by a long tail. The 90th percentile is 65.9 days, which is the realistic service promise. All three are in the catalogue — publish the median as the headline and use P90 to set promise dates.</w:t>
      </w:r>
    </w:p>
    <w:p>
      <w:pPr>
        <w:pStyle w:val="Heading1"/>
        <w:spacing w:after="140" w:before="300"/>
      </w:pPr>
      <w:r>
        <w:t xml:space="preserve">8. Build sequence</w:t>
      </w:r>
    </w:p>
    <w:p>
      <w:pPr>
        <w:spacing w:after="120"/>
      </w:pPr>
      <w:r>
        <w:rPr>
          <w:rFonts w:ascii="Calibri" w:cs="Calibri" w:eastAsia="Calibri" w:hAnsi="Calibri"/>
          <w:sz w:val="21"/>
          <w:szCs w:val="21"/>
        </w:rPr>
        <w:t xml:space="preserve">Follow this order. Nothing here creates a database object — the SQL is pasted as native queries and everything else is built in Power Query on top of them.</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6536"/>
      </w:tblGrid>
      <w:tr>
        <w:trPr>
          <w:tblHeader/>
        </w:trPr>
        <w:tc>
          <w:tcPr>
            <w:tcW w:type="dxa" w:w="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t>
            </w:r>
          </w:p>
        </w:tc>
        <w:tc>
          <w:tcPr>
            <w:tcW w:type="dxa" w:w="29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Step</w:t>
            </w:r>
          </w:p>
        </w:tc>
        <w:tc>
          <w:tcPr>
            <w:tcW w:type="dxa" w:w="65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Detail</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1</w:t>
            </w:r>
          </w:p>
        </w:tc>
        <w:tc>
          <w:tcPr>
            <w:tcW w:type="dxa" w:w="29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Disable auto-detect</w:t>
            </w:r>
          </w:p>
        </w:tc>
        <w:tc>
          <w:tcPr>
            <w:tcW w:type="dxa" w:w="65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File → Options → Current File → Data Load: uncheck Autodetect new relationships. Non-negotiable — it will wire Invoice straight to Shipment.</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2</w:t>
            </w:r>
          </w:p>
        </w:tc>
        <w:tc>
          <w:tcPr>
            <w:tcW w:type="dxa" w:w="29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Create the four parameters</w:t>
            </w:r>
          </w:p>
        </w:tc>
        <w:tc>
          <w:tcPr>
            <w:tcW w:type="dxa" w:w="65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p_Server, p_Database, p_SourceFolder, p_LastQuotedRateDate</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3</w:t>
            </w:r>
          </w:p>
        </w:tc>
        <w:tc>
          <w:tcPr>
            <w:tcW w:type="dxa" w:w="29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Paste the three SQL statements</w:t>
            </w:r>
          </w:p>
        </w:tc>
        <w:tc>
          <w:tcPr>
            <w:tcW w:type="dxa" w:w="65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Get Data → SQL Server → Advanced → SQL statement. One native query each. Set all three to Enable load = OFF.</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4</w:t>
            </w:r>
          </w:p>
        </w:tc>
        <w:tc>
          <w:tcPr>
            <w:tcW w:type="dxa" w:w="29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Build the three independent queries</w:t>
            </w:r>
          </w:p>
        </w:tc>
        <w:tc>
          <w:tcPr>
            <w:tcW w:type="dxa" w:w="65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dim_ExchangeRate, dim_Currency, dim_Date. No dependencies.</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5</w:t>
            </w:r>
          </w:p>
        </w:tc>
        <w:tc>
          <w:tcPr>
            <w:tcW w:type="dxa" w:w="29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Reference the bridge</w:t>
            </w:r>
          </w:p>
        </w:tc>
        <w:tc>
          <w:tcPr>
            <w:tcW w:type="dxa" w:w="65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Right-click qry_SalesOrder_Source → Reference → dim_SalesOrderLine. Verify LineKey is unique and non-blank before continuing.</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6</w:t>
            </w:r>
          </w:p>
        </w:tc>
        <w:tc>
          <w:tcPr>
            <w:tcW w:type="dxa" w:w="29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Reference the facts</w:t>
            </w:r>
          </w:p>
        </w:tc>
        <w:tc>
          <w:tcPr>
            <w:tcW w:type="dxa" w:w="65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fact_SalesOrder (this one merges dim_ExchangeRate), fact_Invoice, fact_Shipment</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7</w:t>
            </w:r>
          </w:p>
        </w:tc>
        <w:tc>
          <w:tcPr>
            <w:tcW w:type="dxa" w:w="29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Reference the remaining dimensions</w:t>
            </w:r>
          </w:p>
        </w:tc>
        <w:tc>
          <w:tcPr>
            <w:tcW w:type="dxa" w:w="65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dim_Customer, dim_Product, dim_Organization, dim_ReturnReason, dim_Carrier</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8</w:t>
            </w:r>
          </w:p>
        </w:tc>
        <w:tc>
          <w:tcPr>
            <w:tcW w:type="dxa" w:w="29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Mark dim_Date</w:t>
            </w:r>
          </w:p>
        </w:tc>
        <w:tc>
          <w:tcPr>
            <w:tcW w:type="dxa" w:w="65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Table tools → Mark as date table → Date</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9</w:t>
            </w:r>
          </w:p>
        </w:tc>
        <w:tc>
          <w:tcPr>
            <w:tcW w:type="dxa" w:w="29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Create relationships</w:t>
            </w:r>
          </w:p>
        </w:tc>
        <w:tc>
          <w:tcPr>
            <w:tcW w:type="dxa" w:w="65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Exactly the twelve in section 3.2, manually, all Single direction</w:t>
            </w:r>
          </w:p>
        </w:tc>
      </w:tr>
      <w:tr>
        <w:tc>
          <w:tcPr>
            <w:tcW w:type="dxa" w:w="500"/>
            <w:shd w:fill="F7F9FC"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10</w:t>
            </w:r>
          </w:p>
        </w:tc>
        <w:tc>
          <w:tcPr>
            <w:tcW w:type="dxa" w:w="2900"/>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Add measures</w:t>
            </w:r>
          </w:p>
        </w:tc>
        <w:tc>
          <w:tcPr>
            <w:tcW w:type="dxa" w:w="6536"/>
            <w:shd w:fill="F7F9FC"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Blank table named _Measures, then the 135 in printed order</w:t>
            </w:r>
          </w:p>
        </w:tc>
      </w:tr>
      <w:tr>
        <w:tc>
          <w:tcPr>
            <w:tcW w:type="dxa" w:w="500"/>
            <w:shd w:fill="FFFFFF" w:val="clear"/>
            <w:tcMar>
              <w:top w:type="dxa" w:w="60"/>
              <w:left w:type="dxa" w:w="90"/>
              <w:bottom w:type="dxa" w:w="60"/>
              <w:right w:type="dxa" w:w="90"/>
            </w:tcMar>
          </w:tcPr>
          <w:p>
            <w:pPr>
              <w:spacing w:after="0"/>
              <w:jc w:val="center"/>
            </w:pPr>
            <w:r>
              <w:rPr>
                <w:rFonts w:ascii="Calibri" w:cs="Calibri" w:eastAsia="Calibri" w:hAnsi="Calibri"/>
                <w:b/>
                <w:bCs/>
                <w:sz w:val="17"/>
                <w:szCs w:val="17"/>
              </w:rPr>
              <w:t xml:space="preserve">11</w:t>
            </w:r>
          </w:p>
        </w:tc>
        <w:tc>
          <w:tcPr>
            <w:tcW w:type="dxa" w:w="2900"/>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Validate</w:t>
            </w:r>
          </w:p>
        </w:tc>
        <w:tc>
          <w:tcPr>
            <w:tcW w:type="dxa" w:w="6536"/>
            <w:shd w:fill="FFFFFF" w:val="clear"/>
            <w:tcMar>
              <w:top w:type="dxa" w:w="60"/>
              <w:left w:type="dxa" w:w="90"/>
              <w:bottom w:type="dxa" w:w="60"/>
              <w:right w:type="dxa" w:w="90"/>
            </w:tcMar>
          </w:tcPr>
          <w:p>
            <w:pPr>
              <w:spacing w:after="0"/>
            </w:pPr>
            <w:r>
              <w:rPr>
                <w:rFonts w:ascii="Calibri" w:cs="Calibri" w:eastAsia="Calibri" w:hAnsi="Calibri"/>
                <w:b w:val="false"/>
                <w:bCs w:val="false"/>
                <w:sz w:val="17"/>
                <w:szCs w:val="17"/>
              </w:rPr>
              <w:t xml:space="preserve">Section 9, before building any visual</w:t>
            </w:r>
          </w:p>
        </w:tc>
      </w:tr>
    </w:tbl>
    <w:p>
      <w:pPr>
        <w:pStyle w:val="Heading1"/>
        <w:spacing w:after="140" w:before="300"/>
      </w:pPr>
      <w:r>
        <w:t xml:space="preserve">9. Validation checklist</w:t>
      </w:r>
    </w:p>
    <w:p>
      <w:pPr>
        <w:spacing w:after="120"/>
      </w:pPr>
      <w:r>
        <w:rPr>
          <w:rFonts w:ascii="Calibri" w:cs="Calibri" w:eastAsia="Calibri" w:hAnsi="Calibri"/>
          <w:sz w:val="21"/>
          <w:szCs w:val="21"/>
        </w:rPr>
        <w:t xml:space="preserve">Run these in Power BI before the model goes anywhere near a stakeholder — as card visuals on a scratch page, or in DAX Query view. Each catches a specific, known failure. The SQL file also carries them as SELECT statements if you would rather check at source.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000"/>
        <w:gridCol w:w="2400"/>
        <w:gridCol w:w="3536"/>
      </w:tblGrid>
      <w:tr>
        <w:trPr>
          <w:tblHeader/>
        </w:trPr>
        <w:tc>
          <w:tcPr>
            <w:tcW w:type="dxa" w:w="40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Check</w:t>
            </w:r>
          </w:p>
        </w:tc>
        <w:tc>
          <w:tcPr>
            <w:tcW w:type="dxa" w:w="24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Expected</w:t>
            </w:r>
          </w:p>
        </w:tc>
        <w:tc>
          <w:tcPr>
            <w:tcW w:type="dxa" w:w="35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Catches</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Fan Out Alert measure</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Model OK</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 relationship added between two fact tables</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Total Shipped MT, no filters</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 21.2m MT</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Malformed rows not filtered</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Ordered MT, no filters</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 25.35m MT</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Return signs not normalised</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Net Revenue USD, no filters</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 $15.07bn</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Fan-out, or credits double-counted</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dim_SalesOrderLine row count</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68,977</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Accidental dedup or an unintended filter</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Distinct LineKey = row count on the bridge</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True</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Duplicate keys breaking the one-side</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Invoiced MT ≤ Shipped MT ≤ Ordered MT</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True at total level</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Inflation from a fan-out</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Price Coverage %</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100.000%</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FX join broken, or dim_ExchangeRate not built</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Unknown Currency Lines</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0</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CurrencyKey not resolving against dim_Currency</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Lines Priced at Shipment Date</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30,617</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FX date ladder wired to the wrong column</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Lines Priced at Promise Date</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3,168</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Promise date missing from the ladder</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Forward Rate Exposure %</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 1.98%</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p_LastQuotedRateDate not refreshed</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Any bidirectional relationship</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None</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Ambiguous filter paths</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Sentinel Date Lines</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0</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Date cap not applied</w:t>
            </w:r>
          </w:p>
        </w:tc>
      </w:tr>
      <w:tr>
        <w:tc>
          <w:tcPr>
            <w:tcW w:type="dxa" w:w="40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Cancelled Lines</w:t>
            </w:r>
          </w:p>
        </w:tc>
        <w:tc>
          <w:tcPr>
            <w:tcW w:type="dxa" w:w="24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39 now, 0 after the SQL fix</w:t>
            </w:r>
          </w:p>
        </w:tc>
        <w:tc>
          <w:tcPr>
            <w:tcW w:type="dxa" w:w="35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Whether the corrected WHERE clause has been deployed</w:t>
            </w:r>
          </w:p>
        </w:tc>
      </w:tr>
      <w:tr>
        <w:tc>
          <w:tcPr>
            <w:tcW w:type="dxa" w:w="40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Shipped MT filtered to Returns only</w:t>
            </w:r>
          </w:p>
        </w:tc>
        <w:tc>
          <w:tcPr>
            <w:tcW w:type="dxa" w:w="24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Blank</w:t>
            </w:r>
          </w:p>
        </w:tc>
        <w:tc>
          <w:tcPr>
            <w:tcW w:type="dxa" w:w="35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Bidirectional filter wrongly added</w:t>
            </w:r>
          </w:p>
        </w:tc>
      </w:tr>
    </w:tbl>
    <w:p>
      <w:pPr>
        <w:spacing w:after="120"/>
      </w:pPr>
      <w:r>
        <w:rPr>
          <w:rFonts w:ascii="Calibri" w:cs="Calibri" w:eastAsia="Calibri" w:hAnsi="Calibri"/>
          <w:sz w:val="8"/>
          <w:szCs w:val="8"/>
        </w:rPr>
        <w:t xml:space="preserve"> </w:t>
      </w:r>
    </w:p>
    <w:p>
      <w:pPr>
        <w:shd w:fill="FEF1EF" w:val="clear"/>
        <w:spacing w:after="0" w:before="130"/>
        <w:ind w:left="110" w:right="110"/>
      </w:pPr>
      <w:r>
        <w:rPr>
          <w:rFonts w:ascii="Calibri" w:cs="Calibri" w:eastAsia="Calibri" w:hAnsi="Calibri"/>
          <w:b/>
          <w:bCs/>
          <w:color w:val="96261C"/>
          <w:sz w:val="16"/>
          <w:szCs w:val="16"/>
        </w:rPr>
        <w:t xml:space="preserve">THE TWO THAT MATTER MOST</w:t>
      </w:r>
    </w:p>
    <w:p>
      <w:pPr>
        <w:shd w:fill="FEF1EF" w:val="clear"/>
        <w:spacing w:after="150"/>
        <w:ind w:left="110" w:right="110"/>
      </w:pPr>
      <w:r>
        <w:rPr>
          <w:rFonts w:ascii="Calibri" w:cs="Calibri" w:eastAsia="Calibri" w:hAnsi="Calibri"/>
          <w:sz w:val="20"/>
          <w:szCs w:val="20"/>
        </w:rPr>
        <w:t xml:space="preserve">If Invoiced MT ever exceeds Ordered MT at the grand-total level, there is a fan-out and every number in the report is wrong. If Ordered MT reads 26.2m rather than 25.1m, the return signs were never normalised. Both are two-second checks and between them they catch the two failure modes this architecture exists to prevent.</w:t>
      </w:r>
    </w:p>
    <w:p>
      <w:r>
        <w:br w:type="page"/>
      </w:r>
    </w:p>
    <w:p>
      <w:pPr>
        <w:pStyle w:val="Heading1"/>
        <w:spacing w:after="140" w:before="300"/>
      </w:pPr>
      <w:r>
        <w:t xml:space="preserve">10. Open items and what the model cannot answer</w:t>
      </w:r>
    </w:p>
    <w:p>
      <w:pPr>
        <w:pStyle w:val="Heading2"/>
        <w:spacing w:after="140" w:before="300"/>
      </w:pPr>
      <w:r>
        <w:t xml:space="preserve">10.1 Waiting on you</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736"/>
      </w:tblGrid>
      <w:tr>
        <w:trPr>
          <w:tblHeader/>
        </w:trPr>
        <w:tc>
          <w:tcPr>
            <w:tcW w:type="dxa" w:w="2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Item</w:t>
            </w:r>
          </w:p>
        </w:tc>
        <w:tc>
          <w:tcPr>
            <w:tcW w:type="dxa" w:w="26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Status</w:t>
            </w:r>
          </w:p>
        </w:tc>
        <w:tc>
          <w:tcPr>
            <w:tcW w:type="dxa" w:w="47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What unblocks it</w:t>
            </w:r>
          </w:p>
        </w:tc>
      </w:tr>
      <w:tr>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d_exchange_rate</w:t>
            </w:r>
          </w:p>
        </w:tc>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Received and wired in</w:t>
            </w:r>
          </w:p>
        </w:tc>
        <w:tc>
          <w:tcPr>
            <w:tcW w:type="dxa" w:w="47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Closed. Corporate rates, daily, keyed on currency + region + date.</w:t>
            </w:r>
          </w:p>
        </w:tc>
      </w:tr>
      <w:tr>
        <w:tc>
          <w:tcPr>
            <w:tcW w:type="dxa" w:w="26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USC / Dólar Compra</w:t>
            </w:r>
          </w:p>
        </w:tc>
        <w:tc>
          <w:tcPr>
            <w:tcW w:type="dxa" w:w="26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Resolved as 1:1 with USD</w:t>
            </w:r>
          </w:p>
        </w:tc>
        <w:tc>
          <w:tcPr>
            <w:tcW w:type="dxa" w:w="47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Closed. All 2,976 lines convert.</w:t>
            </w:r>
          </w:p>
        </w:tc>
      </w:tr>
      <w:tr>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SQL precedence bug</w:t>
            </w:r>
          </w:p>
        </w:tc>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FIXED in the v2 sales query</w:t>
            </w:r>
          </w:p>
        </w:tc>
        <w:tc>
          <w:tcPr>
            <w:tcW w:type="dxa" w:w="47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Apply the same brackets to the invoice and shipment queries</w:t>
            </w:r>
          </w:p>
        </w:tc>
      </w:tr>
      <w:tr>
        <w:tc>
          <w:tcPr>
            <w:tcW w:type="dxa" w:w="26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Malformed shipment rows</w:t>
            </w:r>
          </w:p>
        </w:tc>
        <w:tc>
          <w:tcPr>
            <w:tcW w:type="dxa" w:w="26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Filtered at load</w:t>
            </w:r>
          </w:p>
        </w:tc>
        <w:tc>
          <w:tcPr>
            <w:tcW w:type="dxa" w:w="47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Fix the source extract — likely an unescaped comma or newline</w:t>
            </w:r>
          </w:p>
        </w:tc>
      </w:tr>
      <w:tr>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Currency coverage</w:t>
            </w:r>
          </w:p>
        </w:tc>
        <w:tc>
          <w:tcPr>
            <w:tcW w:type="dxa" w:w="26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100.000% — nothing stranded</w:t>
            </w:r>
          </w:p>
        </w:tc>
        <w:tc>
          <w:tcPr>
            <w:tcW w:type="dxa" w:w="47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Closed. Source Exchange_Rate plus the Corporate table cover every line.</w:t>
            </w:r>
          </w:p>
        </w:tc>
      </w:tr>
    </w:tbl>
    <w:p>
      <w:pPr>
        <w:spacing w:after="120"/>
      </w:pPr>
      <w:r>
        <w:rPr>
          <w:rFonts w:ascii="Calibri" w:cs="Calibri" w:eastAsia="Calibri" w:hAnsi="Calibri"/>
          <w:sz w:val="10"/>
          <w:szCs w:val="10"/>
        </w:rPr>
        <w:t xml:space="preserve"> </w:t>
      </w:r>
    </w:p>
    <w:p>
      <w:pPr>
        <w:pStyle w:val="Heading2"/>
        <w:spacing w:after="140" w:before="300"/>
      </w:pPr>
      <w:r>
        <w:t xml:space="preserve">10.2 Genuinely blocked, and why</w:t>
      </w:r>
    </w:p>
    <w:p>
      <w:pPr>
        <w:spacing w:after="100"/>
      </w:pPr>
      <w:r>
        <w:rPr>
          <w:rFonts w:ascii="Calibri" w:cs="Calibri" w:eastAsia="Calibri" w:hAnsi="Calibri"/>
          <w:sz w:val="21"/>
          <w:szCs w:val="21"/>
        </w:rPr>
        <w:t xml:space="preserve">Eleven KPI families still cannot be built on the current data — currency is no longer among them. Each is listed in the catalogue with the specific column that blocks it. The five that matter most:</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4336"/>
      </w:tblGrid>
      <w:tr>
        <w:trPr>
          <w:tblHeader/>
        </w:trPr>
        <w:tc>
          <w:tcPr>
            <w:tcW w:type="dxa" w:w="25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What is missing</w:t>
            </w:r>
          </w:p>
        </w:tc>
        <w:tc>
          <w:tcPr>
            <w:tcW w:type="dxa" w:w="3100"/>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Blocks</w:t>
            </w:r>
          </w:p>
        </w:tc>
        <w:tc>
          <w:tcPr>
            <w:tcW w:type="dxa" w:w="4336"/>
            <w:shd w:fill="1F3864" w:val="clear"/>
            <w:tcMar>
              <w:top w:type="dxa" w:w="60"/>
              <w:left w:type="dxa" w:w="90"/>
              <w:bottom w:type="dxa" w:w="60"/>
              <w:right w:type="dxa" w:w="90"/>
            </w:tcMar>
          </w:tcPr>
          <w:p>
            <w:pPr>
              <w:spacing w:after="0"/>
            </w:pPr>
            <w:r>
              <w:rPr>
                <w:rFonts w:ascii="Calibri" w:cs="Calibri" w:eastAsia="Calibri" w:hAnsi="Calibri"/>
                <w:b/>
                <w:bCs/>
                <w:color w:val="FFFFFF"/>
                <w:sz w:val="17"/>
                <w:szCs w:val="17"/>
              </w:rPr>
              <w:t xml:space="preserve">Why</w:t>
            </w:r>
          </w:p>
        </w:tc>
      </w:tr>
      <w:tr>
        <w:tc>
          <w:tcPr>
            <w:tcW w:type="dxa" w:w="25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Any cost data</w:t>
            </w:r>
          </w:p>
        </w:tc>
        <w:tc>
          <w:tcPr>
            <w:tcW w:type="dxa" w:w="3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Gross margin, contribution per tonne, cost to serve</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No COGS, standard cost or freight cost columns exist anywhere in the three facts</w:t>
            </w:r>
          </w:p>
        </w:tc>
      </w:tr>
      <w:tr>
        <w:tc>
          <w:tcPr>
            <w:tcW w:type="dxa" w:w="25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Payment records</w:t>
            </w:r>
          </w:p>
        </w:tc>
        <w:tc>
          <w:tcPr>
            <w:tcW w:type="dxa" w:w="31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DSO, overdue balances, collections</w:t>
            </w:r>
          </w:p>
        </w:tc>
        <w:tc>
          <w:tcPr>
            <w:tcW w:type="dxa" w:w="4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Term_Name gives the agreed term; nothing confirms collection</w:t>
            </w:r>
          </w:p>
        </w:tc>
      </w:tr>
      <w:tr>
        <w:tc>
          <w:tcPr>
            <w:tcW w:type="dxa" w:w="25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Freight rates</w:t>
            </w:r>
          </w:p>
        </w:tc>
        <w:tc>
          <w:tcPr>
            <w:tcW w:type="dxa" w:w="3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Cost per tonne, cost per lane</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Carrier service is measured, carrier cost is not</w:t>
            </w:r>
          </w:p>
        </w:tc>
      </w:tr>
      <w:tr>
        <w:tc>
          <w:tcPr>
            <w:tcW w:type="dxa" w:w="25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Real transit timestamps</w:t>
            </w:r>
          </w:p>
        </w:tc>
        <w:tc>
          <w:tcPr>
            <w:tcW w:type="dxa" w:w="3100"/>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Door-to-door transit time</w:t>
            </w:r>
          </w:p>
        </w:tc>
        <w:tc>
          <w:tcPr>
            <w:tcW w:type="dxa" w:w="4336"/>
            <w:shd w:fill="F7F9FC" w:val="clear"/>
            <w:tcMar>
              <w:top w:type="dxa" w:w="60"/>
              <w:left w:type="dxa" w:w="90"/>
              <w:bottom w:type="dxa" w:w="60"/>
              <w:right w:type="dxa" w:w="90"/>
            </w:tcMar>
          </w:tcPr>
          <w:p>
            <w:pPr>
              <w:spacing w:after="0"/>
            </w:pPr>
            <w:r>
              <w:rPr>
                <w:rFonts w:ascii="Calibri" w:cs="Calibri" w:eastAsia="Calibri" w:hAnsi="Calibri"/>
                <w:sz w:val="17"/>
                <w:szCs w:val="17"/>
              </w:rPr>
              <w:t xml:space="preserve">Trip stop arrival and departure carry identical values — computed transit is 0.00 days across 63,969 rows</w:t>
            </w:r>
          </w:p>
        </w:tc>
      </w:tr>
      <w:tr>
        <w:tc>
          <w:tcPr>
            <w:tcW w:type="dxa" w:w="25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Prior-year data</w:t>
            </w:r>
          </w:p>
        </w:tc>
        <w:tc>
          <w:tcPr>
            <w:tcW w:type="dxa" w:w="3100"/>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Any YoY comparison</w:t>
            </w:r>
          </w:p>
        </w:tc>
        <w:tc>
          <w:tcPr>
            <w:tcW w:type="dxa" w:w="4336"/>
            <w:shd w:fill="FFFFFF" w:val="clear"/>
            <w:tcMar>
              <w:top w:type="dxa" w:w="60"/>
              <w:left w:type="dxa" w:w="90"/>
              <w:bottom w:type="dxa" w:w="60"/>
              <w:right w:type="dxa" w:w="90"/>
            </w:tcMar>
          </w:tcPr>
          <w:p>
            <w:pPr>
              <w:spacing w:after="0"/>
            </w:pPr>
            <w:r>
              <w:rPr>
                <w:rFonts w:ascii="Calibri" w:cs="Calibri" w:eastAsia="Calibri" w:hAnsi="Calibri"/>
                <w:sz w:val="17"/>
                <w:szCs w:val="17"/>
              </w:rPr>
              <w:t xml:space="preserve">99.7% of invoice rows are 2026; the extract starts 1 January</w:t>
            </w:r>
          </w:p>
        </w:tc>
      </w:tr>
    </w:tbl>
    <w:p>
      <w:pPr>
        <w:spacing w:after="120"/>
      </w:pPr>
      <w:r>
        <w:rPr>
          <w:rFonts w:ascii="Calibri" w:cs="Calibri" w:eastAsia="Calibri" w:hAnsi="Calibri"/>
          <w:sz w:val="8"/>
          <w:szCs w:val="8"/>
        </w:rPr>
        <w:t xml:space="preserve"> </w:t>
      </w:r>
    </w:p>
    <w:p>
      <w:pPr>
        <w:shd w:fill="EFF4FC" w:val="clear"/>
        <w:spacing w:after="0" w:before="130"/>
        <w:ind w:left="110" w:right="110"/>
      </w:pPr>
      <w:r>
        <w:rPr>
          <w:rFonts w:ascii="Calibri" w:cs="Calibri" w:eastAsia="Calibri" w:hAnsi="Calibri"/>
          <w:b/>
          <w:bCs/>
          <w:color w:val="274B87"/>
          <w:sz w:val="16"/>
          <w:szCs w:val="16"/>
        </w:rPr>
        <w:t xml:space="preserve">ON THE REPORTING WINDOW</w:t>
      </w:r>
    </w:p>
    <w:p>
      <w:pPr>
        <w:shd w:fill="EFF4FC" w:val="clear"/>
        <w:spacing w:after="150"/>
        <w:ind w:left="110" w:right="110"/>
      </w:pPr>
      <w:r>
        <w:rPr>
          <w:rFonts w:ascii="Calibri" w:cs="Calibri" w:eastAsia="Calibri" w:hAnsi="Calibri"/>
          <w:sz w:val="20"/>
          <w:szCs w:val="20"/>
        </w:rPr>
        <w:t xml:space="preserve">The extract covers 1 January to 13 August 2026 — seven complete months and a 13-day stub. dim_Date carries Is_Complete_Month so partial months can be excluded from trends, and the prototype fades August in every chart. Anyone reading the final month as a decline is misreading a partial month.</w:t>
      </w:r>
    </w:p>
    <w:p>
      <w:pPr>
        <w:pStyle w:val="Heading2"/>
        <w:spacing w:after="140" w:before="300"/>
      </w:pPr>
      <w:r>
        <w:t xml:space="preserve">10.3 Recommended next steps</w:t>
      </w:r>
    </w:p>
    <w:p>
      <w:pPr>
        <w:pStyle w:val="ListParagraph"/>
        <w:numPr>
          <w:ilvl w:val="0"/>
          <w:numId w:val="2"/>
        </w:numPr>
        <w:spacing w:after="70"/>
      </w:pPr>
      <w:r>
        <w:rPr>
          <w:rFonts w:ascii="Calibri" w:cs="Calibri" w:eastAsia="Calibri" w:hAnsi="Calibri"/>
          <w:sz w:val="21"/>
          <w:szCs w:val="21"/>
        </w:rPr>
        <w:t xml:space="preserve">Apply the same bracket fix to the invoice and shipment queries. The sales order query is done; the other two still carry the unparenthesised clause.</w:t>
      </w:r>
    </w:p>
    <w:p>
      <w:pPr>
        <w:pStyle w:val="ListParagraph"/>
        <w:numPr>
          <w:ilvl w:val="0"/>
          <w:numId w:val="2"/>
        </w:numPr>
        <w:spacing w:after="70"/>
      </w:pPr>
      <w:r>
        <w:rPr>
          <w:rFonts w:ascii="Calibri" w:cs="Calibri" w:eastAsia="Calibri" w:hAnsi="Calibri"/>
          <w:sz w:val="21"/>
          <w:szCs w:val="21"/>
        </w:rPr>
        <w:t xml:space="preserve">Refresh p_LastQuotedRateDate every time d_exchange_rate is refreshed. It drives the forward-rate flag, and a stale value makes the flag optimistic.</w:t>
      </w:r>
    </w:p>
    <w:p>
      <w:pPr>
        <w:pStyle w:val="ListParagraph"/>
        <w:numPr>
          <w:ilvl w:val="0"/>
          <w:numId w:val="2"/>
        </w:numPr>
        <w:spacing w:after="70"/>
      </w:pPr>
      <w:r>
        <w:rPr>
          <w:rFonts w:ascii="Calibri" w:cs="Calibri" w:eastAsia="Calibri" w:hAnsi="Calibri"/>
          <w:sz w:val="21"/>
          <w:szCs w:val="21"/>
        </w:rPr>
        <w:t xml:space="preserve">Sanity-check the USC parity assumption with Brazilian pricing before publishing. The rate table is unambiguous — direct rate 1.000000, and BRL cross-rates agree within 0.011% — but it rests on only two direct quote rows, so one confirmation email is cheap insurance.</w:t>
      </w:r>
    </w:p>
    <w:p>
      <w:pPr>
        <w:pStyle w:val="ListParagraph"/>
        <w:numPr>
          <w:ilvl w:val="0"/>
          <w:numId w:val="2"/>
        </w:numPr>
        <w:spacing w:after="70"/>
      </w:pPr>
      <w:r>
        <w:rPr>
          <w:rFonts w:ascii="Calibri" w:cs="Calibri" w:eastAsia="Calibri" w:hAnsi="Calibri"/>
          <w:sz w:val="21"/>
          <w:szCs w:val="21"/>
        </w:rPr>
        <w:t xml:space="preserve">Ask the source team whether delivery confirmation is captured at all — Delivered_Qty_MT and Received_Qty_MT are populated but every value is zero, which blocks the entire delivery-confirmation KPI family.</w:t>
      </w:r>
    </w:p>
    <w:p>
      <w:pPr>
        <w:pStyle w:val="ListParagraph"/>
        <w:numPr>
          <w:ilvl w:val="0"/>
          <w:numId w:val="2"/>
        </w:numPr>
        <w:spacing w:after="70"/>
      </w:pPr>
      <w:r>
        <w:rPr>
          <w:rFonts w:ascii="Calibri" w:cs="Calibri" w:eastAsia="Calibri" w:hAnsi="Calibri"/>
          <w:sz w:val="21"/>
          <w:szCs w:val="21"/>
        </w:rPr>
        <w:t xml:space="preserve">Decide whether green premium is a strategic priority. It is $7.5m on 9.3% of lines and completely flat — either it gets a tracked target or it stops being reported.</w:t>
      </w:r>
    </w:p>
    <w:p>
      <w:pPr>
        <w:spacing w:after="120"/>
      </w:pPr>
      <w:r>
        <w:rPr>
          <w:rFonts w:ascii="Calibri" w:cs="Calibri" w:eastAsia="Calibri" w:hAnsi="Calibri"/>
          <w:sz w:val="20"/>
          <w:szCs w:val="20"/>
        </w:rPr>
        <w:t xml:space="preserve"> </w:t>
      </w:r>
    </w:p>
    <w:p>
      <w:pPr>
        <w:pBdr>
          <w:top w:val="single" w:color="D0D6E2" w:sz="8"/>
        </w:pBdr>
        <w:spacing w:before="200"/>
      </w:pPr>
      <w:r>
        <w:rPr>
          <w:sz w:val="8"/>
          <w:szCs w:val="8"/>
        </w:rPr>
        <w:t xml:space="preserve"/>
      </w:r>
    </w:p>
    <w:p>
      <w:pPr>
        <w:spacing w:after="60"/>
      </w:pPr>
      <w:r>
        <w:rPr>
          <w:rFonts w:ascii="Calibri" w:cs="Calibri" w:eastAsia="Calibri" w:hAnsi="Calibri"/>
          <w:color w:val="595959"/>
          <w:sz w:val="17"/>
          <w:szCs w:val="17"/>
        </w:rPr>
        <w:t xml:space="preserve">Built from f_SalesOrder.csv (68,469 lines), f_Invoice.csv (79,576 lines), f_Shipment.csv (84,505 clean of 84,553) and d_currency.xlsx (1,000 rows), plus the three source SQL queries. Every figure quoted was computed directly from those extracts.</w:t>
      </w:r>
    </w:p>
    <w:p>
      <w:pPr>
        <w:spacing w:after="120"/>
      </w:pPr>
      <w:r>
        <w:rPr>
          <w:rFonts w:ascii="Calibri" w:cs="Calibri" w:eastAsia="Calibri" w:hAnsi="Calibri"/>
          <w:i/>
          <w:iCs/>
          <w:color w:val="595959"/>
          <w:sz w:val="17"/>
          <w:szCs w:val="17"/>
        </w:rPr>
        <w:t xml:space="preserve">Customer and product identities are masked in this sample. Figures will not match a production refresh.</w:t>
      </w:r>
    </w:p>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40"/>
    </w:pPr>
    <w:rPr>
      <w:rFonts w:ascii="Calibri" w:cs="Calibri" w:eastAsia="Calibri" w:hAnsi="Calibri"/>
      <w:b/>
      <w:bCs/>
      <w:color w:val="1F3864"/>
      <w:sz w:val="30"/>
      <w:szCs w:val="30"/>
    </w:rPr>
  </w:style>
  <w:style w:type="paragraph" w:styleId="Heading2">
    <w:name w:val="Heading 2"/>
    <w:basedOn w:val="Normal"/>
    <w:next w:val="Normal"/>
    <w:qFormat/>
    <w:pPr>
      <w:spacing w:after="110" w:before="260"/>
    </w:pPr>
    <w:rPr>
      <w:rFonts w:ascii="Calibri" w:cs="Calibri" w:eastAsia="Calibri" w:hAnsi="Calibri"/>
      <w:b/>
      <w:bCs/>
      <w:color w:val="C55A11"/>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d680154866a964d0be8e0b1ffdcbb3af6df8e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Order-to-Cash Analytics Model — Architecture and Build Specification</dc:title>
  <dc:creator>Gabriel de Carvalho</dc:creator>
  <cp:lastModifiedBy>Un-named</cp:lastModifiedBy>
  <cp:revision>1</cp:revision>
  <dcterms:created xsi:type="dcterms:W3CDTF">2026-08-14T23:14:35.771Z</dcterms:created>
  <dcterms:modified xsi:type="dcterms:W3CDTF">2026-08-14T23:14:35.775Z</dcterms:modified>
</cp:coreProperties>
</file>

<file path=docProps/custom.xml><?xml version="1.0" encoding="utf-8"?>
<Properties xmlns="http://schemas.openxmlformats.org/officeDocument/2006/custom-properties" xmlns:vt="http://schemas.openxmlformats.org/officeDocument/2006/docPropsVTypes"/>
</file>