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EC" w:rsidRDefault="00C06CEC" w:rsidP="00D07951"/>
    <w:p w:rsidR="004672CF" w:rsidRDefault="004672CF" w:rsidP="00D07951"/>
    <w:bookmarkStart w:id="0" w:name="_Toc322350227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ar-SA"/>
        </w:rPr>
        <w:id w:val="1822689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C165B6" w:rsidRDefault="00C165B6" w:rsidP="00D76A08">
          <w:pPr>
            <w:pStyle w:val="En-ttedetabledesmatires"/>
          </w:pPr>
          <w:r>
            <w:t>Sommaire</w:t>
          </w:r>
        </w:p>
        <w:p w:rsidR="007B5852" w:rsidRDefault="00631F4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 w:rsidR="00C165B6">
            <w:instrText xml:space="preserve"> TOC \o "1-3" \h \z \u </w:instrText>
          </w:r>
          <w:r>
            <w:fldChar w:fldCharType="separate"/>
          </w:r>
          <w:hyperlink w:anchor="_Toc457389423" w:history="1">
            <w:r w:rsidR="007B5852" w:rsidRPr="00795018">
              <w:rPr>
                <w:rStyle w:val="Lienhypertexte"/>
                <w:noProof/>
              </w:rPr>
              <w:t>1.</w:t>
            </w:r>
            <w:r w:rsidR="007B585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5852" w:rsidRPr="00795018">
              <w:rPr>
                <w:rStyle w:val="Lienhypertexte"/>
                <w:noProof/>
              </w:rPr>
              <w:t>Préparation du tir XBT/XCTD</w:t>
            </w:r>
            <w:r w:rsidR="007B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5852">
              <w:rPr>
                <w:noProof/>
                <w:webHidden/>
              </w:rPr>
              <w:instrText xml:space="preserve"> PAGEREF _Toc457389423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85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52" w:rsidRDefault="001E1C0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389424" w:history="1">
            <w:r w:rsidR="007B5852" w:rsidRPr="00795018">
              <w:rPr>
                <w:rStyle w:val="Lienhypertexte"/>
                <w:noProof/>
              </w:rPr>
              <w:t>2.</w:t>
            </w:r>
            <w:r w:rsidR="007B585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5852" w:rsidRPr="00795018">
              <w:rPr>
                <w:rStyle w:val="Lienhypertexte"/>
                <w:noProof/>
              </w:rPr>
              <w:t>Check-list pour le lanceur de la sonde sur le pont arrière</w:t>
            </w:r>
            <w:r w:rsidR="007B5852">
              <w:rPr>
                <w:noProof/>
                <w:webHidden/>
              </w:rPr>
              <w:tab/>
            </w:r>
            <w:r w:rsidR="00631F44">
              <w:rPr>
                <w:noProof/>
                <w:webHidden/>
              </w:rPr>
              <w:fldChar w:fldCharType="begin"/>
            </w:r>
            <w:r w:rsidR="007B5852">
              <w:rPr>
                <w:noProof/>
                <w:webHidden/>
              </w:rPr>
              <w:instrText xml:space="preserve"> PAGEREF _Toc457389424 \h </w:instrText>
            </w:r>
            <w:r w:rsidR="00631F44">
              <w:rPr>
                <w:noProof/>
                <w:webHidden/>
              </w:rPr>
            </w:r>
            <w:r w:rsidR="00631F44">
              <w:rPr>
                <w:noProof/>
                <w:webHidden/>
              </w:rPr>
              <w:fldChar w:fldCharType="separate"/>
            </w:r>
            <w:r w:rsidR="007B5852">
              <w:rPr>
                <w:noProof/>
                <w:webHidden/>
              </w:rPr>
              <w:t>3</w:t>
            </w:r>
            <w:r w:rsidR="00631F44">
              <w:rPr>
                <w:noProof/>
                <w:webHidden/>
              </w:rPr>
              <w:fldChar w:fldCharType="end"/>
            </w:r>
          </w:hyperlink>
        </w:p>
        <w:p w:rsidR="007B5852" w:rsidRDefault="001E1C09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57389425" w:history="1">
            <w:r w:rsidR="007B5852" w:rsidRPr="00795018">
              <w:rPr>
                <w:rStyle w:val="Lienhypertexte"/>
                <w:noProof/>
              </w:rPr>
              <w:t>3.</w:t>
            </w:r>
            <w:r w:rsidR="007B5852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B5852" w:rsidRPr="00795018">
              <w:rPr>
                <w:rStyle w:val="Lienhypertexte"/>
                <w:noProof/>
              </w:rPr>
              <w:t>Suivi des versions de ce document</w:t>
            </w:r>
            <w:r w:rsidR="007B5852">
              <w:rPr>
                <w:noProof/>
                <w:webHidden/>
              </w:rPr>
              <w:tab/>
            </w:r>
            <w:r w:rsidR="00631F44">
              <w:rPr>
                <w:noProof/>
                <w:webHidden/>
              </w:rPr>
              <w:fldChar w:fldCharType="begin"/>
            </w:r>
            <w:r w:rsidR="007B5852">
              <w:rPr>
                <w:noProof/>
                <w:webHidden/>
              </w:rPr>
              <w:instrText xml:space="preserve"> PAGEREF _Toc457389425 \h </w:instrText>
            </w:r>
            <w:r w:rsidR="00631F44">
              <w:rPr>
                <w:noProof/>
                <w:webHidden/>
              </w:rPr>
            </w:r>
            <w:r w:rsidR="00631F44">
              <w:rPr>
                <w:noProof/>
                <w:webHidden/>
              </w:rPr>
              <w:fldChar w:fldCharType="separate"/>
            </w:r>
            <w:r w:rsidR="007B5852">
              <w:rPr>
                <w:noProof/>
                <w:webHidden/>
              </w:rPr>
              <w:t>4</w:t>
            </w:r>
            <w:r w:rsidR="00631F44">
              <w:rPr>
                <w:noProof/>
                <w:webHidden/>
              </w:rPr>
              <w:fldChar w:fldCharType="end"/>
            </w:r>
          </w:hyperlink>
        </w:p>
        <w:p w:rsidR="00C165B6" w:rsidRDefault="00631F44" w:rsidP="00C165B6">
          <w:r>
            <w:fldChar w:fldCharType="end"/>
          </w:r>
        </w:p>
      </w:sdtContent>
    </w:sdt>
    <w:p w:rsidR="00DE36E9" w:rsidRPr="00236E0D" w:rsidRDefault="00DE36E9" w:rsidP="00DE36E9">
      <w:pPr>
        <w:rPr>
          <w:color w:val="FF0000"/>
        </w:rPr>
      </w:pPr>
    </w:p>
    <w:p w:rsidR="00DE36E9" w:rsidRPr="00236E0D" w:rsidRDefault="00DE36E9" w:rsidP="00DE36E9">
      <w:pPr>
        <w:rPr>
          <w:color w:val="FF0000"/>
        </w:rPr>
      </w:pPr>
      <w:r w:rsidRPr="00236E0D">
        <w:rPr>
          <w:color w:val="FF0000"/>
        </w:rPr>
        <w:br w:type="page"/>
      </w:r>
    </w:p>
    <w:p w:rsidR="000822A2" w:rsidRPr="00D76A08" w:rsidRDefault="00EB32DB" w:rsidP="00B84823">
      <w:pPr>
        <w:pStyle w:val="Titre1"/>
      </w:pPr>
      <w:bookmarkStart w:id="1" w:name="_Toc457389423"/>
      <w:bookmarkEnd w:id="0"/>
      <w:r>
        <w:lastRenderedPageBreak/>
        <w:t>Préparation du tir XBT/XCTD</w:t>
      </w:r>
      <w:bookmarkEnd w:id="1"/>
    </w:p>
    <w:p w:rsidR="00EB32DB" w:rsidRDefault="00EB32DB" w:rsidP="00EB32DB">
      <w:pPr>
        <w:ind w:right="-360"/>
        <w:jc w:val="both"/>
      </w:pPr>
      <w:bookmarkStart w:id="2" w:name="_Toc208734281"/>
      <w:bookmarkStart w:id="3" w:name="_Toc322350231"/>
      <w:r w:rsidRPr="00EB32DB">
        <w:t>Pour effectuer u</w:t>
      </w:r>
      <w:r>
        <w:t xml:space="preserve">n </w:t>
      </w:r>
      <w:proofErr w:type="spellStart"/>
      <w:r>
        <w:t>lancé</w:t>
      </w:r>
      <w:proofErr w:type="spellEnd"/>
      <w:r>
        <w:t xml:space="preserve"> de XBT/XCTD, vous devez suivre les étapes suivantes :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EB32DB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>Avertir la passerelle qu'une s</w:t>
      </w:r>
      <w:r>
        <w:t>onde XBT ou XCTD va être lancée</w:t>
      </w:r>
    </w:p>
    <w:p w:rsidR="00EB32DB" w:rsidRDefault="00EB32DB" w:rsidP="00EB32DB">
      <w:pPr>
        <w:ind w:right="-360"/>
        <w:jc w:val="both"/>
      </w:pPr>
    </w:p>
    <w:p w:rsidR="00EB32DB" w:rsidRPr="00EB32DB" w:rsidRDefault="00EB32DB" w:rsidP="00EB32DB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>Atte</w:t>
      </w:r>
      <w:r>
        <w:t xml:space="preserve">ndre la réponse et le feu vert. </w:t>
      </w:r>
      <w:r w:rsidRPr="00EB32DB">
        <w:t>De nuit, la lumière sera établie sur le pont arrière.</w:t>
      </w:r>
    </w:p>
    <w:p w:rsidR="00EB32DB" w:rsidRPr="00EB32DB" w:rsidRDefault="00EB32DB" w:rsidP="00EB32DB">
      <w:pPr>
        <w:ind w:right="-360"/>
        <w:jc w:val="both"/>
        <w:rPr>
          <w:u w:val="single"/>
        </w:rPr>
      </w:pPr>
    </w:p>
    <w:p w:rsidR="00EB32DB" w:rsidRPr="00EB32DB" w:rsidRDefault="00EB32DB" w:rsidP="00EB32DB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>Si le PC n'est pas lancé, pour ouvrir la session :</w:t>
      </w:r>
    </w:p>
    <w:p w:rsidR="00EB32DB" w:rsidRPr="00EB32DB" w:rsidRDefault="00EB32DB" w:rsidP="00EB32DB">
      <w:pPr>
        <w:pStyle w:val="Paragraphedeliste"/>
        <w:numPr>
          <w:ilvl w:val="1"/>
          <w:numId w:val="14"/>
        </w:numPr>
        <w:ind w:right="-360"/>
        <w:jc w:val="both"/>
      </w:pPr>
      <w:r w:rsidRPr="00EB32DB">
        <w:t>Login :</w:t>
      </w:r>
      <w:r w:rsidRPr="00EB32DB">
        <w:tab/>
      </w:r>
      <w:proofErr w:type="spellStart"/>
      <w:r w:rsidR="001E1C09">
        <w:rPr>
          <w:b/>
        </w:rPr>
        <w:t>sippican</w:t>
      </w:r>
      <w:proofErr w:type="spellEnd"/>
    </w:p>
    <w:p w:rsidR="00EB32DB" w:rsidRPr="00EB32DB" w:rsidRDefault="00EB32DB" w:rsidP="00EB32DB">
      <w:pPr>
        <w:pStyle w:val="Paragraphedeliste"/>
        <w:numPr>
          <w:ilvl w:val="1"/>
          <w:numId w:val="14"/>
        </w:numPr>
        <w:ind w:right="-360"/>
        <w:jc w:val="both"/>
      </w:pPr>
      <w:proofErr w:type="spellStart"/>
      <w:r w:rsidRPr="00EB32DB">
        <w:t>pa</w:t>
      </w:r>
      <w:r>
        <w:t>sswd</w:t>
      </w:r>
      <w:proofErr w:type="spellEnd"/>
      <w:r>
        <w:t xml:space="preserve"> : </w:t>
      </w:r>
      <w:proofErr w:type="spellStart"/>
      <w:r w:rsidR="001E1C09">
        <w:rPr>
          <w:b/>
        </w:rPr>
        <w:t>sippican</w:t>
      </w:r>
      <w:proofErr w:type="spellEnd"/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AE6A5F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>Vérifier également</w:t>
      </w:r>
      <w:r w:rsidR="00B86A0A">
        <w:t xml:space="preserve"> que le disque de sauvegarde G est bien accessible avec le </w:t>
      </w:r>
      <w:r w:rsidRPr="00EB32DB">
        <w:t>même login que rejeu1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B86A0A">
      <w:pPr>
        <w:pStyle w:val="Paragraphedeliste"/>
        <w:numPr>
          <w:ilvl w:val="0"/>
          <w:numId w:val="14"/>
        </w:numPr>
        <w:ind w:right="-360"/>
        <w:jc w:val="both"/>
      </w:pPr>
      <w:r w:rsidRPr="00B86A0A">
        <w:rPr>
          <w:rStyle w:val="ListepucesCar"/>
          <w:sz w:val="22"/>
          <w:szCs w:val="22"/>
          <w:lang w:val="fr-FR"/>
        </w:rPr>
        <w:t>Lancer</w:t>
      </w:r>
      <w:r w:rsidRPr="00EB32DB">
        <w:t xml:space="preserve"> le programme </w:t>
      </w:r>
      <w:proofErr w:type="spellStart"/>
      <w:r w:rsidRPr="00B86A0A">
        <w:rPr>
          <w:b/>
        </w:rPr>
        <w:t>Sippican</w:t>
      </w:r>
      <w:proofErr w:type="spellEnd"/>
      <w:r w:rsidRPr="00B86A0A">
        <w:rPr>
          <w:b/>
        </w:rPr>
        <w:t xml:space="preserve"> mk21</w:t>
      </w:r>
      <w:r w:rsidR="0033567C" w:rsidRPr="0033567C">
        <w:t> :</w:t>
      </w:r>
    </w:p>
    <w:p w:rsidR="00EB32DB" w:rsidRPr="00EB32DB" w:rsidRDefault="00EB32DB" w:rsidP="0033567C">
      <w:pPr>
        <w:pStyle w:val="Paragraphedeliste"/>
        <w:numPr>
          <w:ilvl w:val="1"/>
          <w:numId w:val="14"/>
        </w:numPr>
        <w:ind w:right="-360"/>
        <w:jc w:val="both"/>
      </w:pPr>
      <w:r w:rsidRPr="00EB32DB">
        <w:t>Vérifier que la date et la posit</w:t>
      </w:r>
      <w:r w:rsidR="0033567C">
        <w:t>ion sont correctement affichées</w:t>
      </w:r>
    </w:p>
    <w:p w:rsidR="00EB32DB" w:rsidRPr="00EB32DB" w:rsidRDefault="00EB32DB" w:rsidP="0033567C">
      <w:pPr>
        <w:pStyle w:val="Paragraphedeliste"/>
        <w:numPr>
          <w:ilvl w:val="1"/>
          <w:numId w:val="14"/>
        </w:numPr>
        <w:ind w:right="-360"/>
        <w:jc w:val="both"/>
      </w:pPr>
      <w:r w:rsidRPr="00EB32DB">
        <w:t>En</w:t>
      </w:r>
      <w:r w:rsidR="008D13B9">
        <w:t xml:space="preserve"> cas de problème éteindre le PC</w:t>
      </w:r>
    </w:p>
    <w:p w:rsidR="00EB32DB" w:rsidRPr="00EB32DB" w:rsidRDefault="00EB32DB" w:rsidP="00EB32DB">
      <w:pPr>
        <w:ind w:right="-360"/>
        <w:jc w:val="both"/>
      </w:pPr>
    </w:p>
    <w:p w:rsidR="00EB32DB" w:rsidRPr="00FB5A37" w:rsidRDefault="00EB32DB" w:rsidP="00526E58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Cliquez sur </w:t>
      </w:r>
      <w:r w:rsidR="00526E58">
        <w:t>« </w:t>
      </w:r>
      <w:r w:rsidRPr="00526E58">
        <w:rPr>
          <w:b/>
        </w:rPr>
        <w:t>NOUVEAU SONDAGE</w:t>
      </w:r>
      <w:r w:rsidR="00526E58">
        <w:rPr>
          <w:b/>
        </w:rPr>
        <w:t> »</w:t>
      </w:r>
    </w:p>
    <w:p w:rsidR="00FB5A37" w:rsidRDefault="00FB5A37" w:rsidP="00FB5A37">
      <w:pPr>
        <w:pStyle w:val="Paragraphedeliste"/>
        <w:ind w:right="-360"/>
        <w:jc w:val="both"/>
        <w:rPr>
          <w:b/>
        </w:rPr>
      </w:pPr>
    </w:p>
    <w:p w:rsidR="00FB5A37" w:rsidRPr="00EB32DB" w:rsidRDefault="00FB5A37" w:rsidP="00FB5A37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Le logiciel affiche : </w:t>
      </w:r>
      <w:r>
        <w:t>« </w:t>
      </w:r>
      <w:r w:rsidRPr="00526E58">
        <w:rPr>
          <w:b/>
        </w:rPr>
        <w:t>SONDE</w:t>
      </w:r>
      <w:r>
        <w:rPr>
          <w:b/>
        </w:rPr>
        <w:t> </w:t>
      </w:r>
      <w:r>
        <w:rPr>
          <w:b/>
        </w:rPr>
        <w:t>UTILISEE</w:t>
      </w:r>
      <w:r>
        <w:rPr>
          <w:b/>
        </w:rPr>
        <w:t>»</w:t>
      </w:r>
      <w:r>
        <w:rPr>
          <w:b/>
        </w:rPr>
        <w:t xml:space="preserve">, </w:t>
      </w:r>
      <w:r>
        <w:t>Retirer la sonde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526E58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Le logiciel affiche : </w:t>
      </w:r>
      <w:r w:rsidR="00E000C0">
        <w:t>« </w:t>
      </w:r>
      <w:r w:rsidRPr="00526E58">
        <w:rPr>
          <w:b/>
        </w:rPr>
        <w:t>CHARGER LA SONDE</w:t>
      </w:r>
      <w:r w:rsidR="00E000C0">
        <w:rPr>
          <w:b/>
        </w:rPr>
        <w:t> »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FC6F7F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Vérifier que les informations correspondent au type de sonde qui va être lancé. Sur </w:t>
      </w:r>
      <w:r w:rsidRPr="00FC6F7F">
        <w:rPr>
          <w:b/>
        </w:rPr>
        <w:t>CIRENE</w:t>
      </w:r>
    </w:p>
    <w:p w:rsidR="00EB32DB" w:rsidRPr="00EB32DB" w:rsidRDefault="00EB32DB" w:rsidP="002228E8">
      <w:pPr>
        <w:ind w:left="709" w:right="-360"/>
        <w:jc w:val="both"/>
        <w:rPr>
          <w:b/>
          <w:bCs/>
        </w:rPr>
      </w:pPr>
      <w:r w:rsidRPr="00EB32DB">
        <w:t xml:space="preserve">Soit une sonde </w:t>
      </w:r>
      <w:r w:rsidRPr="00EB32DB">
        <w:rPr>
          <w:b/>
        </w:rPr>
        <w:t>XBT</w:t>
      </w:r>
      <w:r w:rsidRPr="00EB32DB">
        <w:t xml:space="preserve"> de type </w:t>
      </w:r>
      <w:r w:rsidRPr="00EB32DB">
        <w:rPr>
          <w:b/>
        </w:rPr>
        <w:t>DEEP BLUE</w:t>
      </w:r>
      <w:r w:rsidR="002228E8">
        <w:rPr>
          <w:b/>
        </w:rPr>
        <w:t>, d</w:t>
      </w:r>
      <w:r w:rsidRPr="00EB32DB">
        <w:rPr>
          <w:bCs/>
        </w:rPr>
        <w:t xml:space="preserve">ans le cas contraire </w:t>
      </w:r>
      <w:proofErr w:type="gramStart"/>
      <w:r w:rsidRPr="00EB32DB">
        <w:rPr>
          <w:bCs/>
        </w:rPr>
        <w:t>aller</w:t>
      </w:r>
      <w:proofErr w:type="gramEnd"/>
      <w:r w:rsidRPr="00EB32DB">
        <w:rPr>
          <w:bCs/>
        </w:rPr>
        <w:t xml:space="preserve"> au menu :</w:t>
      </w:r>
      <w:r w:rsidRPr="00EB32DB">
        <w:rPr>
          <w:b/>
          <w:bCs/>
        </w:rPr>
        <w:t xml:space="preserve">  </w:t>
      </w:r>
    </w:p>
    <w:p w:rsidR="00EB32DB" w:rsidRPr="002228E8" w:rsidRDefault="00EB32DB" w:rsidP="002228E8">
      <w:pPr>
        <w:pStyle w:val="Paragraphedeliste"/>
        <w:numPr>
          <w:ilvl w:val="1"/>
          <w:numId w:val="14"/>
        </w:numPr>
        <w:ind w:right="-360"/>
        <w:jc w:val="both"/>
        <w:rPr>
          <w:b/>
          <w:bCs/>
        </w:rPr>
      </w:pPr>
      <w:r w:rsidRPr="002228E8">
        <w:rPr>
          <w:b/>
          <w:bCs/>
        </w:rPr>
        <w:t>« OPTIONS », « SONDE », puis « SELECTION »</w:t>
      </w:r>
    </w:p>
    <w:p w:rsidR="00EB32DB" w:rsidRPr="002228E8" w:rsidRDefault="00EB32DB" w:rsidP="002228E8">
      <w:pPr>
        <w:pStyle w:val="Paragraphedeliste"/>
        <w:numPr>
          <w:ilvl w:val="1"/>
          <w:numId w:val="14"/>
        </w:numPr>
        <w:ind w:right="-360"/>
        <w:jc w:val="both"/>
        <w:rPr>
          <w:bCs/>
        </w:rPr>
      </w:pPr>
      <w:r w:rsidRPr="002228E8">
        <w:rPr>
          <w:bCs/>
        </w:rPr>
        <w:t>Sélectionner le type de sonde (</w:t>
      </w:r>
      <w:proofErr w:type="spellStart"/>
      <w:r w:rsidRPr="002228E8">
        <w:rPr>
          <w:bCs/>
        </w:rPr>
        <w:t>Deep</w:t>
      </w:r>
      <w:proofErr w:type="spellEnd"/>
      <w:r w:rsidRPr="002228E8">
        <w:rPr>
          <w:bCs/>
        </w:rPr>
        <w:t xml:space="preserve"> Blue ou XCTD-1), </w:t>
      </w:r>
    </w:p>
    <w:p w:rsidR="00EB32DB" w:rsidRPr="00EB32DB" w:rsidRDefault="00EB32DB" w:rsidP="00EB32DB">
      <w:pPr>
        <w:ind w:left="709" w:right="-360"/>
        <w:jc w:val="both"/>
      </w:pPr>
    </w:p>
    <w:p w:rsidR="00EB32DB" w:rsidRPr="00EB32DB" w:rsidRDefault="00EB32DB" w:rsidP="006D7EA2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La personne qui doit lancer la sonde communique le numéro </w:t>
      </w:r>
      <w:r w:rsidR="006D7EA2">
        <w:t>de la sonde par téléphone au PC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8D009D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>Une fois la nouvelle sonde insérée dans le lanceur, entrer le numéro de la sonde via le menu :</w:t>
      </w:r>
    </w:p>
    <w:p w:rsidR="00EB32DB" w:rsidRPr="0046441C" w:rsidRDefault="00EB32DB" w:rsidP="0046441C">
      <w:pPr>
        <w:pStyle w:val="Paragraphedeliste"/>
        <w:numPr>
          <w:ilvl w:val="1"/>
          <w:numId w:val="14"/>
        </w:numPr>
        <w:ind w:right="-360"/>
        <w:jc w:val="both"/>
        <w:rPr>
          <w:b/>
        </w:rPr>
      </w:pPr>
      <w:r w:rsidRPr="0046441C">
        <w:rPr>
          <w:b/>
        </w:rPr>
        <w:t xml:space="preserve">"OPTIONS" puis "INFORMATIONS DE LANCEMENT" </w:t>
      </w:r>
    </w:p>
    <w:p w:rsidR="00EB32DB" w:rsidRPr="00EB32DB" w:rsidRDefault="00EB32DB" w:rsidP="0046441C">
      <w:pPr>
        <w:pStyle w:val="Paragraphedeliste"/>
        <w:numPr>
          <w:ilvl w:val="1"/>
          <w:numId w:val="14"/>
        </w:numPr>
        <w:ind w:right="-360"/>
        <w:jc w:val="both"/>
      </w:pPr>
      <w:r w:rsidRPr="00EB32DB">
        <w:t>Ne pas changer la position, la date ou le numéro de séquence</w:t>
      </w:r>
    </w:p>
    <w:p w:rsidR="00EB32DB" w:rsidRPr="00EB32DB" w:rsidRDefault="00EB32DB" w:rsidP="0046441C">
      <w:pPr>
        <w:pStyle w:val="Paragraphedeliste"/>
        <w:numPr>
          <w:ilvl w:val="1"/>
          <w:numId w:val="14"/>
        </w:numPr>
        <w:ind w:right="-360"/>
        <w:jc w:val="both"/>
      </w:pPr>
      <w:r w:rsidRPr="00EB32DB">
        <w:t>Valider (OK)</w:t>
      </w:r>
    </w:p>
    <w:p w:rsidR="00EB32DB" w:rsidRPr="00EB32DB" w:rsidRDefault="00EB32DB" w:rsidP="00EB32DB">
      <w:pPr>
        <w:ind w:right="-360"/>
        <w:jc w:val="both"/>
      </w:pPr>
    </w:p>
    <w:p w:rsidR="00EB32DB" w:rsidRPr="00FB5A37" w:rsidRDefault="00EB32DB" w:rsidP="00FB5A37">
      <w:pPr>
        <w:pStyle w:val="Paragraphedeliste"/>
        <w:numPr>
          <w:ilvl w:val="0"/>
          <w:numId w:val="14"/>
        </w:numPr>
        <w:ind w:right="-360"/>
        <w:jc w:val="both"/>
        <w:rPr>
          <w:highlight w:val="yellow"/>
        </w:rPr>
      </w:pPr>
      <w:r w:rsidRPr="00FB5A37">
        <w:t>Avertir</w:t>
      </w:r>
      <w:r w:rsidRPr="00EB32DB">
        <w:t xml:space="preserve"> le lanceur, en utilisant le micro, qu'il peut mettre la sonde en place sur le pistolet</w:t>
      </w:r>
      <w:r w:rsidR="00DE7010">
        <w:t xml:space="preserve">. </w:t>
      </w:r>
      <w:r w:rsidR="00DE7010" w:rsidRPr="00FB5A37">
        <w:rPr>
          <w:highlight w:val="yellow"/>
        </w:rPr>
        <w:t>Relever les lignes de traines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A13AC5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Le logiciel indique successivement : </w:t>
      </w:r>
    </w:p>
    <w:p w:rsidR="00A13AC5" w:rsidRDefault="00EB32DB" w:rsidP="00A13AC5">
      <w:pPr>
        <w:pStyle w:val="Paragraphedeliste"/>
        <w:numPr>
          <w:ilvl w:val="1"/>
          <w:numId w:val="14"/>
        </w:numPr>
        <w:ind w:right="-360"/>
        <w:jc w:val="both"/>
        <w:rPr>
          <w:b/>
        </w:rPr>
      </w:pPr>
      <w:r w:rsidRPr="00A13AC5">
        <w:rPr>
          <w:b/>
        </w:rPr>
        <w:t>TEST DE LA SONDE</w:t>
      </w:r>
    </w:p>
    <w:p w:rsidR="00A13AC5" w:rsidRDefault="00EB32DB" w:rsidP="00A13AC5">
      <w:pPr>
        <w:pStyle w:val="Paragraphedeliste"/>
        <w:numPr>
          <w:ilvl w:val="1"/>
          <w:numId w:val="14"/>
        </w:numPr>
        <w:ind w:right="-360"/>
        <w:jc w:val="both"/>
        <w:rPr>
          <w:b/>
        </w:rPr>
      </w:pPr>
      <w:r w:rsidRPr="00A13AC5">
        <w:rPr>
          <w:b/>
        </w:rPr>
        <w:t>PRÊT POUR LE LANCEMENT</w:t>
      </w:r>
    </w:p>
    <w:p w:rsidR="00EB32DB" w:rsidRPr="00A13AC5" w:rsidRDefault="00EB32DB" w:rsidP="00A13AC5">
      <w:pPr>
        <w:pStyle w:val="Paragraphedeliste"/>
        <w:numPr>
          <w:ilvl w:val="1"/>
          <w:numId w:val="14"/>
        </w:numPr>
        <w:ind w:right="-360"/>
        <w:jc w:val="both"/>
        <w:rPr>
          <w:b/>
        </w:rPr>
      </w:pPr>
      <w:r w:rsidRPr="00A13AC5">
        <w:rPr>
          <w:b/>
        </w:rPr>
        <w:t xml:space="preserve">LANCER </w:t>
      </w:r>
      <w:smartTag w:uri="urn:schemas-microsoft-com:office:smarttags" w:element="PersonName">
        <w:smartTagPr>
          <w:attr w:name="ProductID" w:val="LA SONDE"/>
        </w:smartTagPr>
        <w:r w:rsidRPr="00A13AC5">
          <w:rPr>
            <w:b/>
          </w:rPr>
          <w:t>LA SONDE</w:t>
        </w:r>
      </w:smartTag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7B2D99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Lorsque </w:t>
      </w:r>
      <w:r w:rsidR="007B2D99">
        <w:t>« </w:t>
      </w:r>
      <w:r w:rsidRPr="00EB32DB">
        <w:t>LANCER LA SONDE</w:t>
      </w:r>
      <w:r w:rsidR="007B2D99">
        <w:t> »</w:t>
      </w:r>
      <w:r w:rsidRPr="00EB32DB">
        <w:t xml:space="preserve"> s'affiche sur l'écran, prévenir la personne qui est sur la plage arriè</w:t>
      </w:r>
      <w:r w:rsidR="007B2D99">
        <w:t>re qu'elle peut lancer la sonde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7B2D99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 xml:space="preserve">S’assurer sur le PC d’acquisition que le profil XBT/XCTD est correct sur les 400 premiers mètres. On peut vérifier la valeur de surface en la comparant avec celle obtenue avec le </w:t>
      </w:r>
      <w:proofErr w:type="spellStart"/>
      <w:r w:rsidRPr="00EB32DB">
        <w:t>thermosalinographe</w:t>
      </w:r>
      <w:proofErr w:type="spellEnd"/>
      <w:r w:rsidRPr="00EB32DB">
        <w:t xml:space="preserve"> et affichée sur l’écran de l’autre PC.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6A0157">
      <w:pPr>
        <w:pStyle w:val="Paragraphedeliste"/>
        <w:numPr>
          <w:ilvl w:val="0"/>
          <w:numId w:val="14"/>
        </w:numPr>
        <w:ind w:right="-360"/>
        <w:jc w:val="both"/>
      </w:pPr>
      <w:r w:rsidRPr="00EB32DB">
        <w:t>Si le profil n’est pas correct, relancer une sonde (e</w:t>
      </w:r>
      <w:r w:rsidR="006A0157">
        <w:t>t toute la procédure ci-dessus)</w:t>
      </w:r>
    </w:p>
    <w:p w:rsidR="00EB32DB" w:rsidRPr="00EB32DB" w:rsidRDefault="00EB32DB" w:rsidP="00EB32DB">
      <w:pPr>
        <w:ind w:right="-360"/>
        <w:jc w:val="both"/>
      </w:pPr>
    </w:p>
    <w:p w:rsidR="00EB32DB" w:rsidRPr="00EB32DB" w:rsidRDefault="00EB32DB" w:rsidP="006A0157">
      <w:pPr>
        <w:pStyle w:val="Paragraphedeliste"/>
        <w:numPr>
          <w:ilvl w:val="0"/>
          <w:numId w:val="14"/>
        </w:numPr>
        <w:ind w:right="43"/>
        <w:jc w:val="both"/>
      </w:pPr>
      <w:r w:rsidRPr="00EB32DB">
        <w:t>Fermer le logiciel</w:t>
      </w:r>
    </w:p>
    <w:p w:rsidR="00EB32DB" w:rsidRPr="00EB32DB" w:rsidRDefault="00EB32DB" w:rsidP="00EB32DB">
      <w:pPr>
        <w:ind w:right="-360"/>
        <w:jc w:val="both"/>
      </w:pPr>
    </w:p>
    <w:p w:rsidR="00EB32DB" w:rsidRPr="0098701D" w:rsidRDefault="00EB32DB" w:rsidP="0098701D">
      <w:pPr>
        <w:pStyle w:val="Paragraphedeliste"/>
        <w:numPr>
          <w:ilvl w:val="0"/>
          <w:numId w:val="14"/>
        </w:numPr>
        <w:ind w:right="-360"/>
        <w:jc w:val="both"/>
        <w:rPr>
          <w:b/>
        </w:rPr>
      </w:pPr>
      <w:r w:rsidRPr="0098701D">
        <w:rPr>
          <w:b/>
        </w:rPr>
        <w:t>Remplir CLAIREMENT le formulaire XBT/XCTD  en indiquant tous les incidents éventuels.</w:t>
      </w:r>
    </w:p>
    <w:p w:rsidR="00EB32DB" w:rsidRPr="00EB32DB" w:rsidRDefault="00EB32DB" w:rsidP="00EB32DB">
      <w:pPr>
        <w:ind w:right="-360"/>
        <w:jc w:val="both"/>
        <w:rPr>
          <w:b/>
        </w:rPr>
      </w:pPr>
    </w:p>
    <w:p w:rsidR="00EB32DB" w:rsidRPr="0098701D" w:rsidRDefault="0098701D" w:rsidP="00EB32DB">
      <w:pPr>
        <w:ind w:right="-360"/>
        <w:jc w:val="both"/>
        <w:rPr>
          <w:b/>
          <w:color w:val="FF0000"/>
          <w:u w:val="single"/>
        </w:rPr>
      </w:pPr>
      <w:r w:rsidRPr="0098701D">
        <w:rPr>
          <w:b/>
          <w:color w:val="FF0000"/>
          <w:u w:val="single"/>
        </w:rPr>
        <w:t>Attention !</w:t>
      </w:r>
      <w:r w:rsidRPr="0098701D">
        <w:rPr>
          <w:b/>
          <w:color w:val="FF0000"/>
        </w:rPr>
        <w:t xml:space="preserve"> </w:t>
      </w:r>
      <w:r w:rsidR="00EB32DB" w:rsidRPr="0098701D">
        <w:rPr>
          <w:color w:val="FF0000"/>
        </w:rPr>
        <w:t xml:space="preserve">Le logiciel WinMK21 recèle  encore quelques bugs. Il arrive parfois qu’un </w:t>
      </w:r>
      <w:proofErr w:type="spellStart"/>
      <w:r w:rsidR="00EB32DB" w:rsidRPr="0098701D">
        <w:rPr>
          <w:color w:val="FF0000"/>
        </w:rPr>
        <w:t>process</w:t>
      </w:r>
      <w:proofErr w:type="spellEnd"/>
      <w:r w:rsidR="00EB32DB" w:rsidRPr="0098701D">
        <w:rPr>
          <w:color w:val="FF0000"/>
        </w:rPr>
        <w:t xml:space="preserve"> zombie tourne encore lorsque l’on démarre le logiciel. Ce </w:t>
      </w:r>
      <w:proofErr w:type="spellStart"/>
      <w:r w:rsidR="00EB32DB" w:rsidRPr="0098701D">
        <w:rPr>
          <w:color w:val="FF0000"/>
        </w:rPr>
        <w:t>process</w:t>
      </w:r>
      <w:proofErr w:type="spellEnd"/>
      <w:r w:rsidR="00EB32DB" w:rsidRPr="0098701D">
        <w:rPr>
          <w:color w:val="FF0000"/>
        </w:rPr>
        <w:t xml:space="preserve"> monopolise toujours le port com1 de récupération du GPS et le programme d’acquisition ne peut obtenir/afficher la </w:t>
      </w:r>
      <w:proofErr w:type="spellStart"/>
      <w:r w:rsidR="00EB32DB" w:rsidRPr="0098701D">
        <w:rPr>
          <w:color w:val="FF0000"/>
        </w:rPr>
        <w:t>nav</w:t>
      </w:r>
      <w:proofErr w:type="spellEnd"/>
      <w:r w:rsidR="00EB32DB" w:rsidRPr="0098701D">
        <w:rPr>
          <w:color w:val="FF0000"/>
        </w:rPr>
        <w:t xml:space="preserve"> courante.</w:t>
      </w:r>
      <w:r w:rsidR="00544260">
        <w:rPr>
          <w:color w:val="FF0000"/>
        </w:rPr>
        <w:t xml:space="preserve"> Pour </w:t>
      </w:r>
      <w:proofErr w:type="spellStart"/>
      <w:r w:rsidR="00544260">
        <w:rPr>
          <w:color w:val="FF0000"/>
        </w:rPr>
        <w:t>palier</w:t>
      </w:r>
      <w:proofErr w:type="spellEnd"/>
      <w:r w:rsidR="00544260">
        <w:rPr>
          <w:color w:val="FF0000"/>
        </w:rPr>
        <w:t xml:space="preserve"> à ce problème :</w:t>
      </w:r>
    </w:p>
    <w:p w:rsidR="00544260" w:rsidRDefault="00EB32DB" w:rsidP="00EB32DB">
      <w:pPr>
        <w:pStyle w:val="Paragraphedeliste"/>
        <w:numPr>
          <w:ilvl w:val="0"/>
          <w:numId w:val="14"/>
        </w:numPr>
        <w:ind w:right="-360"/>
        <w:jc w:val="both"/>
        <w:rPr>
          <w:color w:val="FF0000"/>
        </w:rPr>
      </w:pPr>
      <w:r w:rsidRPr="00544260">
        <w:rPr>
          <w:color w:val="FF0000"/>
        </w:rPr>
        <w:t xml:space="preserve">Quitter WinMk21, ouvrir dans ce cas le gestionnaire des taches et tuer le/les </w:t>
      </w:r>
      <w:proofErr w:type="spellStart"/>
      <w:r w:rsidRPr="00544260">
        <w:rPr>
          <w:color w:val="FF0000"/>
        </w:rPr>
        <w:t>proc</w:t>
      </w:r>
      <w:r w:rsidR="00544260">
        <w:rPr>
          <w:color w:val="FF0000"/>
        </w:rPr>
        <w:t>ess</w:t>
      </w:r>
      <w:proofErr w:type="spellEnd"/>
      <w:r w:rsidR="00544260">
        <w:rPr>
          <w:color w:val="FF0000"/>
        </w:rPr>
        <w:t xml:space="preserve"> WinMK21 qui tournent encore</w:t>
      </w:r>
    </w:p>
    <w:p w:rsidR="00EB32DB" w:rsidRDefault="00EB32DB" w:rsidP="002C7BC4">
      <w:pPr>
        <w:pStyle w:val="Paragraphedeliste"/>
        <w:numPr>
          <w:ilvl w:val="0"/>
          <w:numId w:val="14"/>
        </w:numPr>
        <w:ind w:right="-360"/>
        <w:jc w:val="both"/>
        <w:rPr>
          <w:color w:val="FF0000"/>
        </w:rPr>
      </w:pPr>
      <w:r w:rsidRPr="00544260">
        <w:rPr>
          <w:color w:val="FF0000"/>
        </w:rPr>
        <w:t>Plus simple, redémarrer le PC d’acquisition. Ne pas oublier dans ce cas de bien remonter le disque G :</w:t>
      </w:r>
    </w:p>
    <w:p w:rsidR="002C7BC4" w:rsidRPr="00544260" w:rsidRDefault="002C7BC4" w:rsidP="002C7BC4">
      <w:pPr>
        <w:pStyle w:val="Paragraphedeliste"/>
        <w:ind w:right="-360"/>
        <w:jc w:val="both"/>
        <w:rPr>
          <w:color w:val="FF0000"/>
        </w:rPr>
      </w:pPr>
    </w:p>
    <w:p w:rsidR="006B5E01" w:rsidRDefault="002C7BC4" w:rsidP="002C7BC4">
      <w:pPr>
        <w:pStyle w:val="Titre1"/>
        <w:spacing w:before="0" w:after="0"/>
      </w:pPr>
      <w:bookmarkStart w:id="4" w:name="_Toc457389424"/>
      <w:r>
        <w:t>Check-</w:t>
      </w:r>
      <w:r w:rsidR="00FD1850">
        <w:t>list pour le lanceur de la sonde sur le pont arrière</w:t>
      </w:r>
      <w:bookmarkEnd w:id="4"/>
    </w:p>
    <w:p w:rsidR="002C7BC4" w:rsidRPr="002C7BC4" w:rsidRDefault="002C7BC4" w:rsidP="002C7BC4">
      <w:pPr>
        <w:rPr>
          <w:lang w:eastAsia="en-US"/>
        </w:rPr>
      </w:pPr>
    </w:p>
    <w:bookmarkEnd w:id="2"/>
    <w:bookmarkEnd w:id="3"/>
    <w:p w:rsidR="002C7BC4" w:rsidRDefault="002C7BC4" w:rsidP="002C7BC4">
      <w:pPr>
        <w:ind w:right="-360"/>
        <w:jc w:val="both"/>
      </w:pPr>
      <w:r>
        <w:t>Concernant le lanceur de la sonde, il doit suivre les étapes suivantes :</w:t>
      </w:r>
    </w:p>
    <w:p w:rsidR="002C7BC4" w:rsidRDefault="002C7BC4" w:rsidP="002C7BC4">
      <w:pPr>
        <w:ind w:right="-360"/>
        <w:jc w:val="both"/>
      </w:pPr>
    </w:p>
    <w:p w:rsidR="002C7BC4" w:rsidRPr="002C7BC4" w:rsidRDefault="002C7BC4" w:rsidP="002C7BC4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 xml:space="preserve">Prendre une XBT ou une XCTD </w:t>
      </w:r>
      <w:r w:rsidRPr="002C7BC4">
        <w:rPr>
          <w:highlight w:val="yellow"/>
        </w:rPr>
        <w:t>dans le carton sous le PC - Labo blanc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2C7BC4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rPr>
          <w:b/>
        </w:rPr>
        <w:t>Communiquer le numéro de la sonde</w:t>
      </w:r>
      <w:r>
        <w:t xml:space="preserve"> par téléphone au PC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2C7BC4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 xml:space="preserve">Se dirige alors sur le pont arrière en </w:t>
      </w:r>
      <w:r>
        <w:t>s’assurant d’avoir la</w:t>
      </w:r>
      <w:r w:rsidRPr="002C7BC4">
        <w:t xml:space="preserve"> </w:t>
      </w:r>
      <w:r w:rsidRPr="002C7BC4">
        <w:rPr>
          <w:b/>
        </w:rPr>
        <w:t>brassière de sécurité</w:t>
      </w:r>
      <w:r>
        <w:rPr>
          <w:b/>
        </w:rPr>
        <w:t>, les chaussures de sécurité ainsi que le casque</w:t>
      </w:r>
    </w:p>
    <w:p w:rsidR="002C7BC4" w:rsidRPr="002C7BC4" w:rsidRDefault="002C7BC4" w:rsidP="002C7BC4">
      <w:pPr>
        <w:ind w:right="-360"/>
        <w:jc w:val="both"/>
        <w:rPr>
          <w:u w:val="single"/>
        </w:rPr>
      </w:pPr>
    </w:p>
    <w:p w:rsidR="002C7BC4" w:rsidRPr="00D85E6C" w:rsidRDefault="002C7BC4" w:rsidP="00D85E6C">
      <w:pPr>
        <w:pStyle w:val="Paragraphedeliste"/>
        <w:numPr>
          <w:ilvl w:val="0"/>
          <w:numId w:val="14"/>
        </w:numPr>
        <w:ind w:right="-360"/>
        <w:jc w:val="both"/>
        <w:rPr>
          <w:highlight w:val="yellow"/>
        </w:rPr>
      </w:pPr>
      <w:r w:rsidRPr="00D85E6C">
        <w:rPr>
          <w:highlight w:val="yellow"/>
        </w:rPr>
        <w:t>Vérifier qu’il n’y a pas de lignes de pêches… si il y en a, demander au bord de les retirer.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D85E6C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>Récupérer le pistolet dans le coffre (</w:t>
      </w:r>
      <w:r w:rsidRPr="00D85E6C">
        <w:rPr>
          <w:highlight w:val="yellow"/>
        </w:rPr>
        <w:t>situé sous le PC d’acquisition</w:t>
      </w:r>
      <w:r w:rsidRPr="002C7BC4">
        <w:t>) et enlever la</w:t>
      </w:r>
      <w:r w:rsidR="00D85E6C">
        <w:t xml:space="preserve"> sonde</w:t>
      </w:r>
      <w:r w:rsidRPr="002C7BC4">
        <w:t xml:space="preserve"> test qui protège les contacts de l'humidité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9C4ECC">
      <w:pPr>
        <w:pStyle w:val="Paragraphedeliste"/>
        <w:numPr>
          <w:ilvl w:val="0"/>
          <w:numId w:val="14"/>
        </w:numPr>
        <w:ind w:right="-360"/>
        <w:jc w:val="both"/>
      </w:pPr>
      <w:r w:rsidRPr="009C4ECC">
        <w:rPr>
          <w:b/>
        </w:rPr>
        <w:t>Attendre les instructions</w:t>
      </w:r>
      <w:r w:rsidRPr="002C7BC4">
        <w:t xml:space="preserve"> du PC avant d</w:t>
      </w:r>
      <w:r w:rsidR="009C4ECC">
        <w:t>e charger et de lancer la sonde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6D3CD2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 xml:space="preserve">Quand la personne qui est au PC indique que l'on peut charger la sonde, mettre </w:t>
      </w:r>
      <w:smartTag w:uri="urn:schemas-microsoft-com:office:smarttags" w:element="PersonName">
        <w:smartTagPr>
          <w:attr w:name="ProductID" w:val="la sonde XBT"/>
        </w:smartTagPr>
        <w:r w:rsidRPr="002C7BC4">
          <w:t>la sonde XBT</w:t>
        </w:r>
      </w:smartTag>
      <w:r w:rsidRPr="002C7BC4">
        <w:t xml:space="preserve"> ou XCTD dans le pistolet </w:t>
      </w:r>
      <w:r w:rsidRPr="006D3CD2">
        <w:rPr>
          <w:b/>
          <w:u w:val="single"/>
        </w:rPr>
        <w:t>goupille vers le bas dans la fente</w:t>
      </w:r>
      <w:r w:rsidR="006D3CD2">
        <w:t xml:space="preserve"> et l’armer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D30BEB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>Attendre que la personne au PC</w:t>
      </w:r>
      <w:r w:rsidR="00D30BEB">
        <w:t xml:space="preserve"> donne l'autorisation de lancer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D30BEB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 xml:space="preserve">Lancer la sonde en vérifiant que le fil ne touche pas le bateau </w:t>
      </w:r>
    </w:p>
    <w:p w:rsidR="002C7BC4" w:rsidRPr="002C7BC4" w:rsidRDefault="002C7BC4" w:rsidP="00D30BEB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>Attendre que la personne au PC indique la fin du profil avant de coupe</w:t>
      </w:r>
      <w:r w:rsidR="00D30BEB">
        <w:t>r le fil de cuivre de la sonde</w:t>
      </w:r>
    </w:p>
    <w:p w:rsidR="002C7BC4" w:rsidRPr="002C7BC4" w:rsidRDefault="002C7BC4" w:rsidP="002C7BC4">
      <w:pPr>
        <w:ind w:right="-360"/>
        <w:jc w:val="both"/>
      </w:pPr>
    </w:p>
    <w:p w:rsidR="002C7BC4" w:rsidRPr="002C7BC4" w:rsidRDefault="002C7BC4" w:rsidP="002C7BC4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lastRenderedPageBreak/>
        <w:t>Une fois le profil terminé,</w:t>
      </w:r>
      <w:r w:rsidRPr="00D30BEB">
        <w:rPr>
          <w:b/>
        </w:rPr>
        <w:t xml:space="preserve"> remettre la sonde test en place sur le pistolet </w:t>
      </w:r>
      <w:r w:rsidRPr="002C7BC4">
        <w:t>(protection des contacts)</w:t>
      </w:r>
      <w:r w:rsidR="00D30BEB">
        <w:rPr>
          <w:b/>
        </w:rPr>
        <w:t xml:space="preserve"> ou bien laisser celle qui vient d’être </w:t>
      </w:r>
      <w:proofErr w:type="spellStart"/>
      <w:r w:rsidR="00D30BEB">
        <w:rPr>
          <w:b/>
        </w:rPr>
        <w:t>tirer</w:t>
      </w:r>
      <w:proofErr w:type="spellEnd"/>
      <w:r w:rsidR="00D30BEB">
        <w:rPr>
          <w:b/>
        </w:rPr>
        <w:t xml:space="preserve"> </w:t>
      </w:r>
      <w:r w:rsidR="00D30BEB" w:rsidRPr="00D30BEB">
        <w:t>et ranger la sonde test puis r</w:t>
      </w:r>
      <w:r w:rsidRPr="002C7BC4">
        <w:t>efermer le boîtier.</w:t>
      </w:r>
    </w:p>
    <w:p w:rsidR="002C7BC4" w:rsidRPr="002C7BC4" w:rsidRDefault="002C7BC4" w:rsidP="002C7BC4">
      <w:pPr>
        <w:ind w:right="-360"/>
        <w:jc w:val="both"/>
        <w:rPr>
          <w:b/>
        </w:rPr>
      </w:pPr>
    </w:p>
    <w:p w:rsidR="002C7BC4" w:rsidRPr="002C7BC4" w:rsidRDefault="002C7BC4" w:rsidP="00D30BEB">
      <w:pPr>
        <w:pStyle w:val="Paragraphedeliste"/>
        <w:numPr>
          <w:ilvl w:val="0"/>
          <w:numId w:val="14"/>
        </w:numPr>
        <w:ind w:right="-360"/>
        <w:jc w:val="both"/>
      </w:pPr>
      <w:r w:rsidRPr="002C7BC4">
        <w:t>Bien enrouler l</w:t>
      </w:r>
      <w:r w:rsidR="00D30BEB">
        <w:t>e câble puis ranger le pistolet</w:t>
      </w:r>
    </w:p>
    <w:p w:rsidR="002C7BC4" w:rsidRPr="002C7BC4" w:rsidRDefault="002C7BC4" w:rsidP="002C7BC4">
      <w:pPr>
        <w:jc w:val="both"/>
      </w:pPr>
    </w:p>
    <w:p w:rsidR="002C7BC4" w:rsidRDefault="002C7BC4" w:rsidP="003E2168">
      <w:pPr>
        <w:pStyle w:val="Paragraphedeliste"/>
        <w:numPr>
          <w:ilvl w:val="0"/>
          <w:numId w:val="14"/>
        </w:numPr>
        <w:ind w:right="-360"/>
        <w:jc w:val="both"/>
        <w:rPr>
          <w:b/>
        </w:rPr>
      </w:pPr>
      <w:r w:rsidRPr="00D30BEB">
        <w:rPr>
          <w:b/>
        </w:rPr>
        <w:t>Prévenir la</w:t>
      </w:r>
      <w:r w:rsidR="00D30BEB">
        <w:rPr>
          <w:b/>
        </w:rPr>
        <w:t xml:space="preserve"> passerelle de la fin du lancer</w:t>
      </w:r>
    </w:p>
    <w:p w:rsidR="003E2168" w:rsidRPr="003E2168" w:rsidRDefault="003E2168" w:rsidP="003E2168">
      <w:pPr>
        <w:ind w:right="-360"/>
        <w:jc w:val="both"/>
        <w:rPr>
          <w:b/>
        </w:rPr>
      </w:pPr>
    </w:p>
    <w:p w:rsidR="002F1348" w:rsidRPr="000822A2" w:rsidRDefault="002F1348" w:rsidP="003E2168">
      <w:pPr>
        <w:pStyle w:val="Titre1"/>
        <w:spacing w:before="0" w:after="0"/>
      </w:pPr>
      <w:bookmarkStart w:id="5" w:name="_Toc457389425"/>
      <w:r w:rsidRPr="000822A2">
        <w:t>Suivi des versions</w:t>
      </w:r>
      <w:r w:rsidR="006B5E01">
        <w:t xml:space="preserve"> de ce document</w:t>
      </w:r>
      <w:bookmarkEnd w:id="5"/>
    </w:p>
    <w:p w:rsidR="008962F9" w:rsidRDefault="008962F9" w:rsidP="008962F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1"/>
        <w:gridCol w:w="2263"/>
        <w:gridCol w:w="1131"/>
        <w:gridCol w:w="2263"/>
      </w:tblGrid>
      <w:tr w:rsidR="008962F9" w:rsidRPr="00466B3F" w:rsidTr="004370CA">
        <w:trPr>
          <w:trHeight w:val="222"/>
        </w:trPr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2F9" w:rsidRPr="006359DC" w:rsidRDefault="008962F9" w:rsidP="004370CA">
            <w:pPr>
              <w:rPr>
                <w:b/>
              </w:rPr>
            </w:pPr>
            <w:r w:rsidRPr="006359DC">
              <w:rPr>
                <w:b/>
              </w:rPr>
              <w:t>Rédacteur</w:t>
            </w:r>
          </w:p>
        </w:tc>
        <w:tc>
          <w:tcPr>
            <w:tcW w:w="3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2F9" w:rsidRPr="006359DC" w:rsidRDefault="008962F9" w:rsidP="004370CA">
            <w:pPr>
              <w:rPr>
                <w:b/>
              </w:rPr>
            </w:pPr>
            <w:r w:rsidRPr="006359DC">
              <w:rPr>
                <w:b/>
              </w:rPr>
              <w:t>Approbateur</w:t>
            </w:r>
          </w:p>
        </w:tc>
      </w:tr>
      <w:tr w:rsidR="008962F9" w:rsidRPr="00466B3F" w:rsidTr="004370CA">
        <w:trPr>
          <w:trHeight w:hRule="exact" w:val="466"/>
        </w:trPr>
        <w:tc>
          <w:tcPr>
            <w:tcW w:w="11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25163" w:rsidP="004370CA">
            <w:pPr>
              <w:rPr>
                <w:lang w:val="en-GB"/>
              </w:rPr>
            </w:pPr>
            <w:r>
              <w:rPr>
                <w:lang w:val="en-GB"/>
              </w:rPr>
              <w:t xml:space="preserve">Jacques </w:t>
            </w:r>
            <w:proofErr w:type="spellStart"/>
            <w:r>
              <w:rPr>
                <w:lang w:val="en-GB"/>
              </w:rPr>
              <w:t>Grelet</w:t>
            </w:r>
            <w:proofErr w:type="spellEnd"/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Nom :</w:t>
            </w:r>
          </w:p>
        </w:tc>
        <w:tc>
          <w:tcPr>
            <w:tcW w:w="2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1E1C09" w:rsidP="004370CA">
            <w:r>
              <w:t xml:space="preserve">Bernard </w:t>
            </w:r>
            <w:proofErr w:type="spellStart"/>
            <w:r>
              <w:t>Bourlès</w:t>
            </w:r>
            <w:proofErr w:type="spellEnd"/>
          </w:p>
        </w:tc>
      </w:tr>
      <w:tr w:rsidR="008962F9" w:rsidRPr="00466B3F" w:rsidTr="004370CA">
        <w:trPr>
          <w:trHeight w:val="46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62F9" w:rsidRPr="00466B3F" w:rsidRDefault="00825163" w:rsidP="004370CA">
            <w:r>
              <w:t>Responsable du Laboratoire de Mesures Physiques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962F9" w:rsidP="004370CA">
            <w:r w:rsidRPr="00466B3F">
              <w:t>Fonction :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62F9" w:rsidRPr="00466B3F" w:rsidRDefault="00825163" w:rsidP="004370CA">
            <w:r>
              <w:t>Directeur de l’Unité de Service 191</w:t>
            </w:r>
          </w:p>
        </w:tc>
      </w:tr>
    </w:tbl>
    <w:p w:rsidR="002F1348" w:rsidRDefault="002F1348" w:rsidP="002F1348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18"/>
        <w:gridCol w:w="1230"/>
        <w:gridCol w:w="6537"/>
      </w:tblGrid>
      <w:tr w:rsidR="002F1348" w:rsidRPr="002F1348" w:rsidTr="00117471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Date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Version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F1348" w:rsidRDefault="002F1348" w:rsidP="002F1348">
            <w:pPr>
              <w:rPr>
                <w:b/>
              </w:rPr>
            </w:pPr>
            <w:r w:rsidRPr="002F1348">
              <w:rPr>
                <w:b/>
              </w:rPr>
              <w:t>Commentaires et modifications</w:t>
            </w:r>
          </w:p>
        </w:tc>
      </w:tr>
      <w:tr w:rsidR="002F1348" w:rsidRPr="002B258C" w:rsidTr="00117471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141E95" w:rsidP="00117471">
            <w:pPr>
              <w:jc w:val="center"/>
            </w:pPr>
            <w:r>
              <w:t>04/11/2008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141E95" w:rsidP="00117471">
            <w:pPr>
              <w:jc w:val="center"/>
            </w:pPr>
            <w:r>
              <w:t>01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141E95" w:rsidP="00117471">
            <w:r>
              <w:t>Création et mise en forme suite à CIRENE</w:t>
            </w:r>
          </w:p>
        </w:tc>
      </w:tr>
      <w:tr w:rsidR="002F1348" w:rsidRPr="002B258C" w:rsidTr="001E1C09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141E95" w:rsidP="00676785">
            <w:pPr>
              <w:jc w:val="center"/>
            </w:pPr>
            <w:r>
              <w:t>19/05/2010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</w:tcBorders>
          </w:tcPr>
          <w:p w:rsidR="002F1348" w:rsidRPr="002B258C" w:rsidRDefault="00141E95" w:rsidP="00676785">
            <w:pPr>
              <w:jc w:val="center"/>
            </w:pPr>
            <w:r>
              <w:t>02</w:t>
            </w:r>
          </w:p>
        </w:tc>
        <w:tc>
          <w:tcPr>
            <w:tcW w:w="6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141E95" w:rsidP="00117471">
            <w:r>
              <w:t xml:space="preserve">Simplification de </w:t>
            </w:r>
            <w:bookmarkStart w:id="6" w:name="_GoBack"/>
            <w:bookmarkEnd w:id="6"/>
            <w:r>
              <w:t>la 1</w:t>
            </w:r>
            <w:r w:rsidRPr="00141E95">
              <w:rPr>
                <w:vertAlign w:val="superscript"/>
              </w:rPr>
              <w:t>ère</w:t>
            </w:r>
            <w:r>
              <w:t xml:space="preserve"> et la 2</w:t>
            </w:r>
            <w:r w:rsidRPr="00141E95">
              <w:rPr>
                <w:vertAlign w:val="superscript"/>
              </w:rPr>
              <w:t>ème</w:t>
            </w:r>
            <w:r>
              <w:t xml:space="preserve"> page</w:t>
            </w:r>
          </w:p>
        </w:tc>
      </w:tr>
      <w:tr w:rsidR="002F1348" w:rsidRPr="002B258C" w:rsidTr="001E1C0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B258C" w:rsidRDefault="00141E95" w:rsidP="00676785">
            <w:pPr>
              <w:jc w:val="center"/>
            </w:pPr>
            <w:r>
              <w:t>27/07/2016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1348" w:rsidRPr="002B258C" w:rsidRDefault="00141E95" w:rsidP="00676785">
            <w:pPr>
              <w:jc w:val="center"/>
            </w:pPr>
            <w:r>
              <w:t>02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348" w:rsidRPr="002B258C" w:rsidRDefault="00141E95" w:rsidP="00117471">
            <w:r>
              <w:t>Mise au format</w:t>
            </w:r>
          </w:p>
        </w:tc>
      </w:tr>
      <w:tr w:rsidR="001E1C09" w:rsidRPr="002B258C" w:rsidTr="001E1C0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1C09" w:rsidRPr="002B258C" w:rsidRDefault="001E1C09" w:rsidP="001E1C09">
            <w:pPr>
              <w:jc w:val="center"/>
            </w:pPr>
            <w:r>
              <w:t>02/03/2018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1C09" w:rsidRPr="002B258C" w:rsidRDefault="001E1C09" w:rsidP="001E1C09">
            <w:pPr>
              <w:jc w:val="center"/>
            </w:pPr>
            <w:r>
              <w:t>03</w:t>
            </w:r>
          </w:p>
        </w:tc>
        <w:tc>
          <w:tcPr>
            <w:tcW w:w="6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C09" w:rsidRPr="002B258C" w:rsidRDefault="001E1C09" w:rsidP="001E1C09">
            <w:r>
              <w:t>Mise à jour</w:t>
            </w:r>
          </w:p>
        </w:tc>
      </w:tr>
    </w:tbl>
    <w:p w:rsidR="006B5E01" w:rsidRDefault="006B5E01" w:rsidP="006B5E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</w:tblGrid>
      <w:tr w:rsidR="008962F9" w:rsidRPr="008962F9" w:rsidTr="008962F9">
        <w:tc>
          <w:tcPr>
            <w:tcW w:w="3070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Relecteur</w:t>
            </w:r>
          </w:p>
        </w:tc>
        <w:tc>
          <w:tcPr>
            <w:tcW w:w="3071" w:type="dxa"/>
          </w:tcPr>
          <w:p w:rsidR="008962F9" w:rsidRPr="008962F9" w:rsidRDefault="008962F9" w:rsidP="008E4663">
            <w:pPr>
              <w:rPr>
                <w:b/>
                <w:lang w:eastAsia="en-US"/>
              </w:rPr>
            </w:pPr>
            <w:r w:rsidRPr="008962F9">
              <w:rPr>
                <w:b/>
                <w:lang w:eastAsia="en-US"/>
              </w:rPr>
              <w:t>Date</w:t>
            </w:r>
          </w:p>
        </w:tc>
      </w:tr>
      <w:tr w:rsidR="008962F9" w:rsidRPr="008962F9" w:rsidTr="008962F9">
        <w:tc>
          <w:tcPr>
            <w:tcW w:w="3070" w:type="dxa"/>
          </w:tcPr>
          <w:p w:rsidR="008962F9" w:rsidRPr="008962F9" w:rsidRDefault="001E1C09" w:rsidP="008E466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Pierre Rousselot</w:t>
            </w:r>
          </w:p>
        </w:tc>
        <w:tc>
          <w:tcPr>
            <w:tcW w:w="3071" w:type="dxa"/>
          </w:tcPr>
          <w:p w:rsidR="008962F9" w:rsidRPr="008962F9" w:rsidRDefault="001E1C09" w:rsidP="008E4663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02/03/2018</w:t>
            </w:r>
          </w:p>
        </w:tc>
      </w:tr>
    </w:tbl>
    <w:p w:rsidR="008962F9" w:rsidRPr="008962F9" w:rsidRDefault="008962F9" w:rsidP="008962F9">
      <w:pPr>
        <w:rPr>
          <w:b/>
          <w:lang w:eastAsia="en-US"/>
        </w:rPr>
      </w:pPr>
    </w:p>
    <w:sectPr w:rsidR="008962F9" w:rsidRPr="008962F9" w:rsidSect="00C06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7B9" w:rsidRDefault="003E57B9" w:rsidP="00D07951">
      <w:r>
        <w:separator/>
      </w:r>
    </w:p>
  </w:endnote>
  <w:endnote w:type="continuationSeparator" w:id="0">
    <w:p w:rsidR="003E57B9" w:rsidRDefault="003E57B9" w:rsidP="00D0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4F" w:rsidRDefault="00CB034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6" w:rsidRDefault="00BF06C6" w:rsidP="00D07951">
    <w:pPr>
      <w:pStyle w:val="Pieddepage"/>
    </w:pPr>
  </w:p>
  <w:p w:rsidR="00BF06C6" w:rsidRDefault="00BF06C6" w:rsidP="00D0795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4F" w:rsidRDefault="00CB03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7B9" w:rsidRDefault="003E57B9" w:rsidP="00D07951">
      <w:r>
        <w:separator/>
      </w:r>
    </w:p>
  </w:footnote>
  <w:footnote w:type="continuationSeparator" w:id="0">
    <w:p w:rsidR="003E57B9" w:rsidRDefault="003E57B9" w:rsidP="00D07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6" w:rsidRDefault="001E1C0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5" o:spid="_x0000_s1026" type="#_x0000_t136" style="position:absolute;margin-left:0;margin-top:0;width:590.2pt;height:4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6" w:rsidRDefault="001E1C09" w:rsidP="00D0795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6" o:spid="_x0000_s1027" type="#_x0000_t136" style="position:absolute;margin-left:0;margin-top:0;width:590.2pt;height:4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  <w:r w:rsidR="00BF06C6">
      <w:rPr>
        <w:noProof/>
        <w:lang w:eastAsia="fr-FR"/>
      </w:rPr>
      <w:drawing>
        <wp:inline distT="0" distB="0" distL="0" distR="0">
          <wp:extent cx="952500" cy="514350"/>
          <wp:effectExtent l="19050" t="0" r="0" b="0"/>
          <wp:docPr id="1" name="Image 0" descr="ird-100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d-100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06C6">
      <w:tab/>
    </w:r>
    <w:r w:rsidR="00BF06C6">
      <w:tab/>
    </w:r>
    <w:r w:rsidR="00BF06C6">
      <w:rPr>
        <w:noProof/>
        <w:lang w:eastAsia="fr-FR"/>
      </w:rPr>
      <w:drawing>
        <wp:inline distT="0" distB="0" distL="0" distR="0">
          <wp:extent cx="1310939" cy="514350"/>
          <wp:effectExtent l="19050" t="0" r="3511" b="0"/>
          <wp:docPr id="2" name="Image 1" descr="Logo Imago Recadré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o Recadré 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4216" cy="515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06C6" w:rsidRDefault="00CB034F" w:rsidP="00C1160A">
    <w:pPr>
      <w:pStyle w:val="Titre"/>
      <w:tabs>
        <w:tab w:val="clear" w:pos="6663"/>
      </w:tabs>
    </w:pPr>
    <w:r>
      <w:t>Protocole</w:t>
    </w:r>
    <w:r w:rsidR="00A00A83">
      <w:t xml:space="preserve"> </w:t>
    </w:r>
    <w:r w:rsidR="00EB32DB">
      <w:t xml:space="preserve">d’utilisation des </w:t>
    </w:r>
    <w:proofErr w:type="spellStart"/>
    <w:r w:rsidR="00EB32DB">
      <w:t>XBTs</w:t>
    </w:r>
    <w:proofErr w:type="spellEnd"/>
    <w:r w:rsidR="00EB32DB">
      <w:t xml:space="preserve"> et </w:t>
    </w:r>
    <w:proofErr w:type="spellStart"/>
    <w:r w:rsidR="00EB32DB">
      <w:t>XCTDs</w:t>
    </w:r>
    <w:proofErr w:type="spellEnd"/>
  </w:p>
  <w:p w:rsidR="00B66663" w:rsidRPr="00B66663" w:rsidRDefault="00B66663" w:rsidP="00B66663">
    <w:pPr>
      <w:rPr>
        <w:lang w:eastAsia="en-US"/>
      </w:rPr>
    </w:pPr>
  </w:p>
  <w:p w:rsidR="00C27C1E" w:rsidRPr="00EB32DB" w:rsidRDefault="00BF06C6" w:rsidP="009D1315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466B3F">
      <w:t xml:space="preserve">Laboratoire : </w:t>
    </w:r>
    <w:r w:rsidR="009D1315">
      <w:tab/>
    </w:r>
    <w:r w:rsidRPr="00EB32DB">
      <w:t>US191</w:t>
    </w:r>
    <w:r w:rsidR="00C27C1E" w:rsidRPr="00EB32DB">
      <w:tab/>
    </w:r>
    <w:r w:rsidR="00EB32DB" w:rsidRPr="00EB32DB">
      <w:t>INSTRUCTION</w:t>
    </w:r>
  </w:p>
  <w:p w:rsidR="00C27C1E" w:rsidRPr="00466B3F" w:rsidRDefault="00BF06C6" w:rsidP="00C27C1E">
    <w:pPr>
      <w:pStyle w:val="En-tte"/>
      <w:pBdr>
        <w:top w:val="single" w:sz="8" w:space="1" w:color="4F81BD"/>
      </w:pBdr>
      <w:tabs>
        <w:tab w:val="clear" w:pos="4536"/>
        <w:tab w:val="left" w:pos="1985"/>
      </w:tabs>
    </w:pPr>
    <w:r w:rsidRPr="00EB32DB">
      <w:t xml:space="preserve">Implantation : </w:t>
    </w:r>
    <w:r w:rsidR="009D1315" w:rsidRPr="00EB32DB">
      <w:tab/>
    </w:r>
    <w:r w:rsidR="00EB32DB" w:rsidRPr="00EB32DB">
      <w:t>Brest</w:t>
    </w:r>
    <w:r w:rsidR="00C27C1E" w:rsidRPr="00EB32DB">
      <w:tab/>
      <w:t xml:space="preserve">Version </w:t>
    </w:r>
    <w:r w:rsidR="00EB32DB" w:rsidRPr="00EB32DB">
      <w:t>02</w:t>
    </w:r>
  </w:p>
  <w:p w:rsidR="00BF06C6" w:rsidRDefault="00C27C1E" w:rsidP="009D1315">
    <w:pPr>
      <w:pStyle w:val="En-tte"/>
      <w:pBdr>
        <w:bottom w:val="single" w:sz="8" w:space="1" w:color="4F81BD"/>
      </w:pBdr>
      <w:tabs>
        <w:tab w:val="clear" w:pos="4536"/>
        <w:tab w:val="left" w:pos="1985"/>
      </w:tabs>
    </w:pPr>
    <w:r>
      <w:tab/>
    </w:r>
    <w:r w:rsidR="00BF06C6" w:rsidRPr="00466B3F">
      <w:tab/>
      <w:t xml:space="preserve">Page </w:t>
    </w:r>
    <w:r w:rsidR="001E1C09">
      <w:fldChar w:fldCharType="begin"/>
    </w:r>
    <w:r w:rsidR="001E1C09">
      <w:instrText xml:space="preserve"> PAGE   \* MERGEFORMAT </w:instrText>
    </w:r>
    <w:r w:rsidR="001E1C09">
      <w:fldChar w:fldCharType="separate"/>
    </w:r>
    <w:r w:rsidR="001E1C09">
      <w:rPr>
        <w:noProof/>
      </w:rPr>
      <w:t>4</w:t>
    </w:r>
    <w:r w:rsidR="001E1C09">
      <w:rPr>
        <w:noProof/>
      </w:rPr>
      <w:fldChar w:fldCharType="end"/>
    </w:r>
    <w:r w:rsidR="00BF06C6" w:rsidRPr="00466B3F">
      <w:t>/</w:t>
    </w:r>
    <w:r w:rsidR="001E1C09">
      <w:fldChar w:fldCharType="begin"/>
    </w:r>
    <w:r w:rsidR="001E1C09">
      <w:instrText xml:space="preserve"> NUMPAGES   \* MERGEFORMAT </w:instrText>
    </w:r>
    <w:r w:rsidR="001E1C09">
      <w:fldChar w:fldCharType="separate"/>
    </w:r>
    <w:r w:rsidR="001E1C09">
      <w:rPr>
        <w:noProof/>
      </w:rPr>
      <w:t>4</w:t>
    </w:r>
    <w:r w:rsidR="001E1C09">
      <w:rPr>
        <w:noProof/>
      </w:rPr>
      <w:fldChar w:fldCharType="end"/>
    </w:r>
  </w:p>
  <w:p w:rsidR="00BF06C6" w:rsidRPr="00466B3F" w:rsidRDefault="00BF06C6" w:rsidP="00D0795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6" w:rsidRDefault="001E1C0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27274" o:spid="_x0000_s1025" type="#_x0000_t136" style="position:absolute;margin-left:0;margin-top:0;width:590.2pt;height:4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Version papier non géré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4FC2CD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605D4B"/>
    <w:multiLevelType w:val="hybridMultilevel"/>
    <w:tmpl w:val="A8D22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7CCD"/>
    <w:multiLevelType w:val="hybridMultilevel"/>
    <w:tmpl w:val="1CC62F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96E94"/>
    <w:multiLevelType w:val="hybridMultilevel"/>
    <w:tmpl w:val="C95C8808"/>
    <w:lvl w:ilvl="0" w:tplc="040C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25961409"/>
    <w:multiLevelType w:val="multilevel"/>
    <w:tmpl w:val="F68E525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F284B5A"/>
    <w:multiLevelType w:val="multilevel"/>
    <w:tmpl w:val="39CA5B12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87D1F7B"/>
    <w:multiLevelType w:val="hybridMultilevel"/>
    <w:tmpl w:val="743813D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9C53CF"/>
    <w:multiLevelType w:val="multilevel"/>
    <w:tmpl w:val="687262D0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5B91887"/>
    <w:multiLevelType w:val="multilevel"/>
    <w:tmpl w:val="3CC82288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48DD4" w:themeColor="text2" w:themeTint="99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492D8C"/>
    <w:multiLevelType w:val="hybridMultilevel"/>
    <w:tmpl w:val="B792DDBE"/>
    <w:lvl w:ilvl="0" w:tplc="40B82B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708BD"/>
    <w:multiLevelType w:val="hybridMultilevel"/>
    <w:tmpl w:val="55C28464"/>
    <w:lvl w:ilvl="0" w:tplc="074AF74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D40"/>
    <w:rsid w:val="00026247"/>
    <w:rsid w:val="00046F40"/>
    <w:rsid w:val="000556B5"/>
    <w:rsid w:val="000822A2"/>
    <w:rsid w:val="00086D62"/>
    <w:rsid w:val="000A0829"/>
    <w:rsid w:val="000D2282"/>
    <w:rsid w:val="000F3ED5"/>
    <w:rsid w:val="00111687"/>
    <w:rsid w:val="00120F1E"/>
    <w:rsid w:val="00127B8E"/>
    <w:rsid w:val="00141E95"/>
    <w:rsid w:val="0014365E"/>
    <w:rsid w:val="00182BE6"/>
    <w:rsid w:val="00185EBA"/>
    <w:rsid w:val="001A119F"/>
    <w:rsid w:val="001A25E1"/>
    <w:rsid w:val="001E1C09"/>
    <w:rsid w:val="001F6072"/>
    <w:rsid w:val="002065A8"/>
    <w:rsid w:val="002228E8"/>
    <w:rsid w:val="00236E0D"/>
    <w:rsid w:val="00273147"/>
    <w:rsid w:val="002735CB"/>
    <w:rsid w:val="002B258C"/>
    <w:rsid w:val="002C7BC4"/>
    <w:rsid w:val="002F1348"/>
    <w:rsid w:val="00322BAF"/>
    <w:rsid w:val="0033567C"/>
    <w:rsid w:val="0034171D"/>
    <w:rsid w:val="00366088"/>
    <w:rsid w:val="00390F93"/>
    <w:rsid w:val="003A630E"/>
    <w:rsid w:val="003B2959"/>
    <w:rsid w:val="003C68A1"/>
    <w:rsid w:val="003E2168"/>
    <w:rsid w:val="003E57B9"/>
    <w:rsid w:val="004144D6"/>
    <w:rsid w:val="00434E86"/>
    <w:rsid w:val="004371B5"/>
    <w:rsid w:val="004610BB"/>
    <w:rsid w:val="00461579"/>
    <w:rsid w:val="0046441C"/>
    <w:rsid w:val="00466B3F"/>
    <w:rsid w:val="004672CF"/>
    <w:rsid w:val="0049189F"/>
    <w:rsid w:val="004D14B0"/>
    <w:rsid w:val="00512292"/>
    <w:rsid w:val="0052263D"/>
    <w:rsid w:val="00526E58"/>
    <w:rsid w:val="00544260"/>
    <w:rsid w:val="00561D0A"/>
    <w:rsid w:val="00571D88"/>
    <w:rsid w:val="005A5F37"/>
    <w:rsid w:val="005C4C0F"/>
    <w:rsid w:val="005D0A53"/>
    <w:rsid w:val="005F0927"/>
    <w:rsid w:val="00631F44"/>
    <w:rsid w:val="006359DC"/>
    <w:rsid w:val="00662FD0"/>
    <w:rsid w:val="006648ED"/>
    <w:rsid w:val="00676785"/>
    <w:rsid w:val="0069084F"/>
    <w:rsid w:val="006A0157"/>
    <w:rsid w:val="006B5E01"/>
    <w:rsid w:val="006D3CD2"/>
    <w:rsid w:val="006D7EA2"/>
    <w:rsid w:val="00732432"/>
    <w:rsid w:val="007338C2"/>
    <w:rsid w:val="007406B0"/>
    <w:rsid w:val="00753BAC"/>
    <w:rsid w:val="00782742"/>
    <w:rsid w:val="007B2D99"/>
    <w:rsid w:val="007B5852"/>
    <w:rsid w:val="007E7876"/>
    <w:rsid w:val="0081063D"/>
    <w:rsid w:val="008133E4"/>
    <w:rsid w:val="00821B50"/>
    <w:rsid w:val="00825163"/>
    <w:rsid w:val="00827212"/>
    <w:rsid w:val="00871229"/>
    <w:rsid w:val="008962F9"/>
    <w:rsid w:val="008B39A5"/>
    <w:rsid w:val="008B76F6"/>
    <w:rsid w:val="008D009D"/>
    <w:rsid w:val="008D13B9"/>
    <w:rsid w:val="008D453D"/>
    <w:rsid w:val="008D7726"/>
    <w:rsid w:val="0090002F"/>
    <w:rsid w:val="009143C2"/>
    <w:rsid w:val="00930D40"/>
    <w:rsid w:val="009315AA"/>
    <w:rsid w:val="00962155"/>
    <w:rsid w:val="00976C15"/>
    <w:rsid w:val="00981DDE"/>
    <w:rsid w:val="0098701D"/>
    <w:rsid w:val="009A49CE"/>
    <w:rsid w:val="009B1197"/>
    <w:rsid w:val="009C4ECC"/>
    <w:rsid w:val="009D1315"/>
    <w:rsid w:val="009D7E98"/>
    <w:rsid w:val="00A00A83"/>
    <w:rsid w:val="00A13AC5"/>
    <w:rsid w:val="00A36C16"/>
    <w:rsid w:val="00A42A03"/>
    <w:rsid w:val="00A43FDA"/>
    <w:rsid w:val="00AB7ECB"/>
    <w:rsid w:val="00AD367B"/>
    <w:rsid w:val="00AE1355"/>
    <w:rsid w:val="00AE6A5F"/>
    <w:rsid w:val="00B062FA"/>
    <w:rsid w:val="00B37D13"/>
    <w:rsid w:val="00B54BB9"/>
    <w:rsid w:val="00B66663"/>
    <w:rsid w:val="00B715E2"/>
    <w:rsid w:val="00B84823"/>
    <w:rsid w:val="00B86A0A"/>
    <w:rsid w:val="00B92F9B"/>
    <w:rsid w:val="00BA2C11"/>
    <w:rsid w:val="00BA5A36"/>
    <w:rsid w:val="00BC6AE3"/>
    <w:rsid w:val="00BC79EC"/>
    <w:rsid w:val="00BD19AE"/>
    <w:rsid w:val="00BD77F7"/>
    <w:rsid w:val="00BF06C6"/>
    <w:rsid w:val="00BF7E0C"/>
    <w:rsid w:val="00C04213"/>
    <w:rsid w:val="00C06018"/>
    <w:rsid w:val="00C06CEC"/>
    <w:rsid w:val="00C1160A"/>
    <w:rsid w:val="00C12008"/>
    <w:rsid w:val="00C165B6"/>
    <w:rsid w:val="00C27C1E"/>
    <w:rsid w:val="00C323CA"/>
    <w:rsid w:val="00C34771"/>
    <w:rsid w:val="00C627EE"/>
    <w:rsid w:val="00C71DA2"/>
    <w:rsid w:val="00C85F19"/>
    <w:rsid w:val="00CB034F"/>
    <w:rsid w:val="00CE06E2"/>
    <w:rsid w:val="00D07951"/>
    <w:rsid w:val="00D24512"/>
    <w:rsid w:val="00D30BEB"/>
    <w:rsid w:val="00D50887"/>
    <w:rsid w:val="00D62E5B"/>
    <w:rsid w:val="00D76A08"/>
    <w:rsid w:val="00D85E6C"/>
    <w:rsid w:val="00D93089"/>
    <w:rsid w:val="00D9485B"/>
    <w:rsid w:val="00DC369C"/>
    <w:rsid w:val="00DC7CCE"/>
    <w:rsid w:val="00DE36E9"/>
    <w:rsid w:val="00DE5B8F"/>
    <w:rsid w:val="00DE7010"/>
    <w:rsid w:val="00E000C0"/>
    <w:rsid w:val="00E62164"/>
    <w:rsid w:val="00E85D38"/>
    <w:rsid w:val="00E9724A"/>
    <w:rsid w:val="00EA7212"/>
    <w:rsid w:val="00EB32DB"/>
    <w:rsid w:val="00EC3942"/>
    <w:rsid w:val="00ED1E44"/>
    <w:rsid w:val="00F45D22"/>
    <w:rsid w:val="00F61E04"/>
    <w:rsid w:val="00FB5A37"/>
    <w:rsid w:val="00FC12FB"/>
    <w:rsid w:val="00FC6F7F"/>
    <w:rsid w:val="00F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5:docId w15:val="{208F7A2A-BDB8-4F4C-9AF1-6D198481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951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D76A08"/>
    <w:pPr>
      <w:numPr>
        <w:numId w:val="11"/>
      </w:numPr>
      <w:tabs>
        <w:tab w:val="left" w:pos="7513"/>
      </w:tabs>
      <w:spacing w:before="240" w:after="240"/>
      <w:outlineLvl w:val="0"/>
    </w:pPr>
    <w:rPr>
      <w:color w:val="056284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0A53"/>
    <w:pPr>
      <w:keepNext/>
      <w:keepLines/>
      <w:numPr>
        <w:ilvl w:val="1"/>
        <w:numId w:val="11"/>
      </w:numPr>
      <w:spacing w:before="240" w:after="240"/>
      <w:ind w:left="788" w:hanging="431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0A53"/>
    <w:pPr>
      <w:keepNext/>
      <w:keepLines/>
      <w:numPr>
        <w:ilvl w:val="2"/>
        <w:numId w:val="11"/>
      </w:numPr>
      <w:spacing w:before="240" w:after="120"/>
      <w:ind w:left="1225" w:hanging="505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rsid w:val="00E62164"/>
    <w:rPr>
      <w:rFonts w:ascii="Times New Roman" w:hAnsi="Times New Roman" w:cs="Times New Roman"/>
      <w:i/>
      <w:iCs/>
    </w:rPr>
  </w:style>
  <w:style w:type="paragraph" w:styleId="Titre">
    <w:name w:val="Title"/>
    <w:basedOn w:val="Normal"/>
    <w:next w:val="Normal"/>
    <w:link w:val="TitreCar"/>
    <w:qFormat/>
    <w:rsid w:val="00962155"/>
    <w:pPr>
      <w:tabs>
        <w:tab w:val="left" w:pos="6663"/>
      </w:tabs>
      <w:spacing w:after="120"/>
      <w:contextualSpacing/>
      <w:jc w:val="center"/>
    </w:pPr>
    <w:rPr>
      <w:rFonts w:ascii="Cambria" w:hAnsi="Cambria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rsid w:val="00962155"/>
    <w:rPr>
      <w:rFonts w:ascii="Cambria" w:eastAsia="Times New Roman" w:hAnsi="Cambria" w:cs="Times New Roman"/>
      <w:b/>
      <w:color w:val="17365D"/>
      <w:spacing w:val="5"/>
      <w:kern w:val="28"/>
      <w:sz w:val="36"/>
      <w:szCs w:val="36"/>
      <w:lang w:eastAsia="en-US"/>
    </w:rPr>
  </w:style>
  <w:style w:type="character" w:customStyle="1" w:styleId="Titre1Car">
    <w:name w:val="Titre 1 Car"/>
    <w:basedOn w:val="Policepardfaut"/>
    <w:link w:val="Titre1"/>
    <w:rsid w:val="00D76A08"/>
    <w:rPr>
      <w:rFonts w:ascii="Times New Roman" w:eastAsia="Times New Roman" w:hAnsi="Times New Roman" w:cs="Times New Roman"/>
      <w:color w:val="05628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6"/>
      <w:szCs w:val="2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30D40"/>
  </w:style>
  <w:style w:type="paragraph" w:styleId="Pieddepage">
    <w:name w:val="footer"/>
    <w:basedOn w:val="Normal"/>
    <w:link w:val="PieddepageCar"/>
    <w:uiPriority w:val="99"/>
    <w:unhideWhenUsed/>
    <w:rsid w:val="00930D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0D40"/>
  </w:style>
  <w:style w:type="paragraph" w:styleId="Textedebulles">
    <w:name w:val="Balloon Text"/>
    <w:basedOn w:val="Normal"/>
    <w:link w:val="TextedebullesCar"/>
    <w:uiPriority w:val="99"/>
    <w:semiHidden/>
    <w:unhideWhenUsed/>
    <w:rsid w:val="00930D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D4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2A2"/>
    <w:pPr>
      <w:keepLines/>
      <w:numPr>
        <w:numId w:val="0"/>
      </w:numPr>
      <w:tabs>
        <w:tab w:val="clear" w:pos="7513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822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22A2"/>
    <w:rPr>
      <w:color w:val="0000FF" w:themeColor="hyperlink"/>
      <w:u w:val="single"/>
    </w:rPr>
  </w:style>
  <w:style w:type="paragraph" w:styleId="Sansinterligne">
    <w:name w:val="No Spacing"/>
    <w:uiPriority w:val="1"/>
    <w:rsid w:val="000822A2"/>
    <w:pPr>
      <w:suppressAutoHyphens/>
      <w:spacing w:after="0" w:line="240" w:lineRule="auto"/>
    </w:pPr>
    <w:rPr>
      <w:rFonts w:ascii="Times New Roman" w:eastAsia="Times New Roman" w:hAnsi="Times New Roman" w:cs="Times New Roman"/>
      <w:szCs w:val="24"/>
      <w:lang w:eastAsia="ar-SA"/>
    </w:rPr>
  </w:style>
  <w:style w:type="paragraph" w:styleId="Paragraphedeliste">
    <w:name w:val="List Paragraph"/>
    <w:basedOn w:val="Normal"/>
    <w:uiPriority w:val="34"/>
    <w:rsid w:val="006359D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D19AE"/>
    <w:pPr>
      <w:spacing w:after="100"/>
      <w:ind w:left="220"/>
    </w:pPr>
  </w:style>
  <w:style w:type="table" w:styleId="Grilledutableau">
    <w:name w:val="Table Grid"/>
    <w:basedOn w:val="TableauNormal"/>
    <w:uiPriority w:val="59"/>
    <w:rsid w:val="00BF06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D0A53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  <w:lang w:eastAsia="ar-SA"/>
    </w:rPr>
  </w:style>
  <w:style w:type="paragraph" w:styleId="TM3">
    <w:name w:val="toc 3"/>
    <w:basedOn w:val="Normal"/>
    <w:next w:val="Normal"/>
    <w:autoRedefine/>
    <w:uiPriority w:val="39"/>
    <w:unhideWhenUsed/>
    <w:rsid w:val="0090002F"/>
    <w:pPr>
      <w:spacing w:after="100"/>
      <w:ind w:left="440"/>
    </w:pPr>
  </w:style>
  <w:style w:type="paragraph" w:styleId="Listepuces">
    <w:name w:val="List Bullet"/>
    <w:basedOn w:val="Normal"/>
    <w:link w:val="ListepucesCar"/>
    <w:autoRedefine/>
    <w:rsid w:val="00EB32DB"/>
    <w:pPr>
      <w:numPr>
        <w:numId w:val="13"/>
      </w:numPr>
      <w:suppressAutoHyphens w:val="0"/>
    </w:pPr>
    <w:rPr>
      <w:sz w:val="24"/>
      <w:szCs w:val="24"/>
      <w:lang w:val="en-US" w:eastAsia="en-US"/>
    </w:rPr>
  </w:style>
  <w:style w:type="character" w:customStyle="1" w:styleId="ListepucesCar">
    <w:name w:val="Liste à puces Car"/>
    <w:basedOn w:val="Policepardfaut"/>
    <w:link w:val="Listepuces"/>
    <w:rsid w:val="00EB32DB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E936D-5D60-4C7B-8A48-2F692FF7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ygouriou</dc:creator>
  <cp:lastModifiedBy>ctd</cp:lastModifiedBy>
  <cp:revision>50</cp:revision>
  <cp:lastPrinted>2014-03-18T09:10:00Z</cp:lastPrinted>
  <dcterms:created xsi:type="dcterms:W3CDTF">2014-06-06T06:54:00Z</dcterms:created>
  <dcterms:modified xsi:type="dcterms:W3CDTF">2019-03-02T11:56:00Z</dcterms:modified>
</cp:coreProperties>
</file>