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628"/>
      </w:tblGrid>
      <w:tr w:rsidR="009473B4" w:rsidRPr="00F16DFA" w14:paraId="52579337" w14:textId="77777777" w:rsidTr="003C13CA">
        <w:tc>
          <w:tcPr>
            <w:tcW w:w="9628" w:type="dxa"/>
            <w:shd w:val="clear" w:color="auto" w:fill="FFF2CC" w:themeFill="accent4" w:themeFillTint="33"/>
          </w:tcPr>
          <w:p w14:paraId="6903D036" w14:textId="140F38BC" w:rsidR="009473B4" w:rsidRPr="00F16DFA" w:rsidRDefault="00F87D69" w:rsidP="00F16DFA">
            <w:pPr>
              <w:rPr>
                <w:i/>
                <w:iCs/>
                <w:lang w:val="en-US"/>
              </w:rPr>
            </w:pPr>
            <w:r w:rsidRPr="00F16DFA">
              <w:rPr>
                <w:b/>
                <w:bCs/>
                <w:i/>
                <w:iCs/>
                <w:lang w:val="en-US"/>
              </w:rPr>
              <w:t>Note</w:t>
            </w:r>
            <w:r w:rsidRPr="00F16DFA">
              <w:rPr>
                <w:i/>
                <w:iCs/>
                <w:lang w:val="en-US"/>
              </w:rPr>
              <w:t xml:space="preserve">: this is </w:t>
            </w:r>
            <w:r w:rsidR="0005221B" w:rsidRPr="00F16DFA">
              <w:rPr>
                <w:i/>
                <w:iCs/>
                <w:lang w:val="en-US"/>
              </w:rPr>
              <w:t xml:space="preserve">a </w:t>
            </w:r>
            <w:r w:rsidR="003C13CA" w:rsidRPr="00F16DFA">
              <w:rPr>
                <w:i/>
                <w:iCs/>
                <w:lang w:val="en-US"/>
              </w:rPr>
              <w:t>proof-of-concept</w:t>
            </w:r>
            <w:r w:rsidR="0005221B" w:rsidRPr="00F16DFA">
              <w:rPr>
                <w:i/>
                <w:iCs/>
                <w:lang w:val="en-US"/>
              </w:rPr>
              <w:t xml:space="preserve"> guide created to f</w:t>
            </w:r>
            <w:r w:rsidRPr="00F16DFA">
              <w:rPr>
                <w:i/>
                <w:iCs/>
                <w:lang w:val="en-US"/>
              </w:rPr>
              <w:t xml:space="preserve">acilitate the </w:t>
            </w:r>
            <w:r w:rsidR="005D3200" w:rsidRPr="00F16DFA">
              <w:rPr>
                <w:i/>
                <w:iCs/>
                <w:lang w:val="en-US"/>
              </w:rPr>
              <w:t xml:space="preserve">discussion about the </w:t>
            </w:r>
            <w:r w:rsidR="008D0DCE" w:rsidRPr="00F16DFA">
              <w:rPr>
                <w:i/>
                <w:iCs/>
                <w:lang w:val="en-US"/>
              </w:rPr>
              <w:t>representation</w:t>
            </w:r>
            <w:r w:rsidR="005D3200" w:rsidRPr="00F16DFA">
              <w:rPr>
                <w:i/>
                <w:iCs/>
                <w:lang w:val="en-US"/>
              </w:rPr>
              <w:t xml:space="preserve"> of the ISO TS 5384 </w:t>
            </w:r>
            <w:r w:rsidR="008D0DCE" w:rsidRPr="00F16DFA">
              <w:rPr>
                <w:i/>
                <w:iCs/>
                <w:lang w:val="en-GB"/>
              </w:rPr>
              <w:t xml:space="preserve">Categorial Structure and Data Elements for the Identification and Exchange of Immunization Data </w:t>
            </w:r>
            <w:r w:rsidRPr="00F16DFA">
              <w:rPr>
                <w:i/>
                <w:iCs/>
                <w:lang w:val="en-US"/>
              </w:rPr>
              <w:t xml:space="preserve">and artefacts </w:t>
            </w:r>
            <w:r w:rsidR="008D0DCE" w:rsidRPr="00F16DFA">
              <w:rPr>
                <w:i/>
                <w:iCs/>
                <w:lang w:val="en-US"/>
              </w:rPr>
              <w:t>as HL7 FHIR logical models</w:t>
            </w:r>
            <w:r w:rsidRPr="00F16DFA">
              <w:rPr>
                <w:i/>
                <w:iCs/>
                <w:lang w:val="en-US"/>
              </w:rPr>
              <w:t>.</w:t>
            </w:r>
          </w:p>
        </w:tc>
      </w:tr>
    </w:tbl>
    <w:p w14:paraId="0F4A19CF" w14:textId="28CCCE0D" w:rsidR="009473B4" w:rsidRPr="00F16DFA" w:rsidRDefault="009473B4" w:rsidP="00F16DFA">
      <w:pPr>
        <w:rPr>
          <w:u w:val="single"/>
          <w:lang w:val="en-US"/>
        </w:rPr>
      </w:pPr>
    </w:p>
    <w:p w14:paraId="540996DF" w14:textId="77777777" w:rsidR="009473B4" w:rsidRPr="009473B4" w:rsidRDefault="009473B4" w:rsidP="009473B4">
      <w:pPr>
        <w:rPr>
          <w:lang w:val="en-US"/>
        </w:rPr>
      </w:pPr>
    </w:p>
    <w:p w14:paraId="4B777D6A" w14:textId="149ABCCF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6F66370B" w14:textId="61AF4A78" w:rsidR="00D43FCB" w:rsidRPr="00E5687E" w:rsidRDefault="00E4369A" w:rsidP="00DB61F3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Facilitate </w:t>
      </w:r>
      <w:r w:rsidR="00605BF4">
        <w:rPr>
          <w:shd w:val="clear" w:color="auto" w:fill="FFFFFF"/>
          <w:lang w:val="en-US"/>
        </w:rPr>
        <w:t>the shari</w:t>
      </w:r>
      <w:r>
        <w:rPr>
          <w:shd w:val="clear" w:color="auto" w:fill="FFFFFF"/>
          <w:lang w:val="en-US"/>
        </w:rPr>
        <w:t>n</w:t>
      </w:r>
      <w:r w:rsidR="00605BF4">
        <w:rPr>
          <w:shd w:val="clear" w:color="auto" w:fill="FFFFFF"/>
          <w:lang w:val="en-US"/>
        </w:rPr>
        <w:t xml:space="preserve">g of thoughts </w:t>
      </w:r>
      <w:r>
        <w:rPr>
          <w:shd w:val="clear" w:color="auto" w:fill="FFFFFF"/>
          <w:lang w:val="en-US"/>
        </w:rPr>
        <w:t xml:space="preserve">and artefacts </w:t>
      </w:r>
      <w:r w:rsidR="00605BF4">
        <w:rPr>
          <w:shd w:val="clear" w:color="auto" w:fill="FFFFFF"/>
          <w:lang w:val="en-US"/>
        </w:rPr>
        <w:t xml:space="preserve">about the </w:t>
      </w:r>
      <w:r>
        <w:rPr>
          <w:shd w:val="clear" w:color="auto" w:fill="FFFFFF"/>
          <w:lang w:val="en-US"/>
        </w:rPr>
        <w:t>vaccination</w:t>
      </w:r>
      <w:r w:rsidR="00DB61F3">
        <w:rPr>
          <w:shd w:val="clear" w:color="auto" w:fill="FFFFFF"/>
          <w:lang w:val="en-US"/>
        </w:rPr>
        <w:t xml:space="preserve">s and vaccination certificates. 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2B8C5F7B" w14:textId="412B3F43" w:rsidR="00B71E79" w:rsidRDefault="00B71E79" w:rsidP="000F299E">
      <w:pPr>
        <w:pStyle w:val="Titolo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Introduction</w:t>
      </w:r>
    </w:p>
    <w:p w14:paraId="3326C635" w14:textId="77777777" w:rsidR="007A483E" w:rsidRPr="007A483E" w:rsidRDefault="007A483E" w:rsidP="007A483E">
      <w:pPr>
        <w:rPr>
          <w:lang w:val="en-US"/>
        </w:rPr>
      </w:pPr>
    </w:p>
    <w:p w14:paraId="7D4558B1" w14:textId="3E5C0330" w:rsidR="00817D54" w:rsidRDefault="000F299E" w:rsidP="007A483E">
      <w:pPr>
        <w:pStyle w:val="Titolo4"/>
        <w:rPr>
          <w:rFonts w:eastAsia="Times New Roman"/>
          <w:lang w:val="en-US"/>
        </w:rPr>
      </w:pPr>
      <w:r w:rsidRPr="000F299E">
        <w:rPr>
          <w:rFonts w:eastAsia="Times New Roman"/>
          <w:lang w:val="en-US"/>
        </w:rPr>
        <w:t>Objective</w:t>
      </w:r>
    </w:p>
    <w:p w14:paraId="035417AC" w14:textId="10F25C15" w:rsidR="00817D54" w:rsidRPr="00817D54" w:rsidRDefault="00817D54" w:rsidP="000F299E">
      <w:pPr>
        <w:pStyle w:val="Nessunaspaziatura"/>
        <w:rPr>
          <w:lang w:val="en-US"/>
        </w:rPr>
      </w:pPr>
      <w:r w:rsidRPr="00817D54">
        <w:rPr>
          <w:lang w:val="en-US"/>
        </w:rPr>
        <w:t xml:space="preserve">To provide a minimal but not exhaustive immunization data set with business requirements and demonstrate their use for key use </w:t>
      </w:r>
      <w:r w:rsidR="00B71E79" w:rsidRPr="00817D54">
        <w:rPr>
          <w:lang w:val="en-US"/>
        </w:rPr>
        <w:t>cases.</w:t>
      </w:r>
    </w:p>
    <w:p w14:paraId="0CB2D0BE" w14:textId="77777777" w:rsidR="00B71E79" w:rsidRDefault="00B71E79" w:rsidP="000F299E">
      <w:pPr>
        <w:pStyle w:val="Nessunaspaziatura"/>
        <w:rPr>
          <w:lang w:val="en-US"/>
        </w:rPr>
      </w:pPr>
    </w:p>
    <w:p w14:paraId="4C1CD675" w14:textId="7DD40224" w:rsidR="00817D54" w:rsidRPr="00817D54" w:rsidRDefault="00817D54" w:rsidP="007A483E">
      <w:pPr>
        <w:pStyle w:val="Titolo4"/>
        <w:rPr>
          <w:lang w:val="en-US"/>
        </w:rPr>
      </w:pPr>
      <w:r w:rsidRPr="00817D54">
        <w:rPr>
          <w:lang w:val="en-US"/>
        </w:rPr>
        <w:t>Business need</w:t>
      </w:r>
      <w:r w:rsidR="00932740">
        <w:rPr>
          <w:lang w:val="en-US"/>
        </w:rPr>
        <w:t>s</w:t>
      </w:r>
    </w:p>
    <w:p w14:paraId="095C3075" w14:textId="1EA22D4B" w:rsidR="00817D54" w:rsidRPr="00817D54" w:rsidRDefault="00817D54" w:rsidP="00B71E79">
      <w:pPr>
        <w:pStyle w:val="Nessunaspaziatura"/>
        <w:numPr>
          <w:ilvl w:val="0"/>
          <w:numId w:val="12"/>
        </w:numPr>
        <w:rPr>
          <w:lang w:val="en-US"/>
        </w:rPr>
      </w:pPr>
      <w:r w:rsidRPr="00817D54">
        <w:rPr>
          <w:lang w:val="en-US"/>
        </w:rPr>
        <w:t>Existing messaging standards do not provide enough detail</w:t>
      </w:r>
      <w:r w:rsidR="00B71E79">
        <w:rPr>
          <w:lang w:val="en-US"/>
        </w:rPr>
        <w:t>.</w:t>
      </w:r>
    </w:p>
    <w:p w14:paraId="30BBBCD7" w14:textId="600581F7" w:rsidR="00817D54" w:rsidRPr="00817D54" w:rsidRDefault="00817D54" w:rsidP="00B71E79">
      <w:pPr>
        <w:pStyle w:val="Nessunaspaziatura"/>
        <w:numPr>
          <w:ilvl w:val="0"/>
          <w:numId w:val="12"/>
        </w:numPr>
        <w:rPr>
          <w:lang w:val="en-US"/>
        </w:rPr>
      </w:pPr>
      <w:r w:rsidRPr="00817D54">
        <w:rPr>
          <w:lang w:val="en-US"/>
        </w:rPr>
        <w:t>Business and technical stakeholders need a common understanding of the data elements and related requirements by use case to effectively adopt within digital health solutions</w:t>
      </w:r>
      <w:r w:rsidR="00B71E79">
        <w:rPr>
          <w:lang w:val="en-US"/>
        </w:rPr>
        <w:t>.</w:t>
      </w:r>
    </w:p>
    <w:p w14:paraId="2D4850C2" w14:textId="402A5BA6" w:rsidR="00817D54" w:rsidRPr="00817D54" w:rsidRDefault="00817D54" w:rsidP="00B71E79">
      <w:pPr>
        <w:pStyle w:val="Nessunaspaziatura"/>
        <w:numPr>
          <w:ilvl w:val="0"/>
          <w:numId w:val="12"/>
        </w:numPr>
        <w:rPr>
          <w:lang w:val="en-US"/>
        </w:rPr>
      </w:pPr>
      <w:r w:rsidRPr="00817D54">
        <w:rPr>
          <w:lang w:val="en-US"/>
        </w:rPr>
        <w:t>Must align with IPS and support FHIR implementations</w:t>
      </w:r>
      <w:r w:rsidR="00B71E79">
        <w:rPr>
          <w:lang w:val="en-US"/>
        </w:rPr>
        <w:t>.</w:t>
      </w:r>
    </w:p>
    <w:p w14:paraId="0CC6E13C" w14:textId="77777777" w:rsidR="00817D54" w:rsidRPr="00817D54" w:rsidRDefault="00817D54" w:rsidP="00CF42D7">
      <w:pPr>
        <w:rPr>
          <w:lang w:val="en-US"/>
        </w:rPr>
      </w:pPr>
    </w:p>
    <w:p w14:paraId="6B8055DB" w14:textId="4AF601F1" w:rsidR="00CB36FF" w:rsidRPr="00817D54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10B5B253" w:rsidR="00E71DB8" w:rsidRPr="00041908" w:rsidRDefault="00E71DB8" w:rsidP="00A907D9">
            <w:r w:rsidRPr="00041908">
              <w:t>Aut</w:t>
            </w:r>
            <w:r w:rsidR="00DB61F3">
              <w:t>hor</w:t>
            </w:r>
          </w:p>
        </w:tc>
        <w:tc>
          <w:tcPr>
            <w:tcW w:w="2099" w:type="dxa"/>
          </w:tcPr>
          <w:p w14:paraId="6DF505FA" w14:textId="5608AE1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6BF32BD9" w14:textId="02537052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A2FE8B8" w14:textId="115844C8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831"/>
    <w:multiLevelType w:val="hybridMultilevel"/>
    <w:tmpl w:val="7930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C5B83"/>
    <w:multiLevelType w:val="hybridMultilevel"/>
    <w:tmpl w:val="0EAC52EC"/>
    <w:lvl w:ilvl="0" w:tplc="A15A7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30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0E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22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87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6D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49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AB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8E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221B"/>
    <w:rsid w:val="00053900"/>
    <w:rsid w:val="000B2152"/>
    <w:rsid w:val="000F299E"/>
    <w:rsid w:val="00126888"/>
    <w:rsid w:val="001C3C41"/>
    <w:rsid w:val="001F3083"/>
    <w:rsid w:val="002074A0"/>
    <w:rsid w:val="002077FC"/>
    <w:rsid w:val="0023346A"/>
    <w:rsid w:val="00270D11"/>
    <w:rsid w:val="002C0E23"/>
    <w:rsid w:val="002E70BE"/>
    <w:rsid w:val="00301F9D"/>
    <w:rsid w:val="003B0FAE"/>
    <w:rsid w:val="003C13CA"/>
    <w:rsid w:val="003F0C43"/>
    <w:rsid w:val="0045030A"/>
    <w:rsid w:val="004A53A0"/>
    <w:rsid w:val="004F134D"/>
    <w:rsid w:val="00506005"/>
    <w:rsid w:val="005D3200"/>
    <w:rsid w:val="005E6C2C"/>
    <w:rsid w:val="00605BF4"/>
    <w:rsid w:val="00617972"/>
    <w:rsid w:val="006B5A79"/>
    <w:rsid w:val="00735709"/>
    <w:rsid w:val="007603A3"/>
    <w:rsid w:val="00772CC7"/>
    <w:rsid w:val="007A483E"/>
    <w:rsid w:val="007D0507"/>
    <w:rsid w:val="007D224A"/>
    <w:rsid w:val="007E6475"/>
    <w:rsid w:val="007F560A"/>
    <w:rsid w:val="007F5725"/>
    <w:rsid w:val="0080223B"/>
    <w:rsid w:val="00817D54"/>
    <w:rsid w:val="008214A5"/>
    <w:rsid w:val="008251B3"/>
    <w:rsid w:val="00894024"/>
    <w:rsid w:val="008B0CFB"/>
    <w:rsid w:val="008D0DCE"/>
    <w:rsid w:val="00907BEA"/>
    <w:rsid w:val="00917280"/>
    <w:rsid w:val="00932740"/>
    <w:rsid w:val="009473B4"/>
    <w:rsid w:val="00970722"/>
    <w:rsid w:val="009B5592"/>
    <w:rsid w:val="009D1FE1"/>
    <w:rsid w:val="00A558B9"/>
    <w:rsid w:val="00A907D9"/>
    <w:rsid w:val="00A97B01"/>
    <w:rsid w:val="00AB4541"/>
    <w:rsid w:val="00AB7D4A"/>
    <w:rsid w:val="00B27476"/>
    <w:rsid w:val="00B71E79"/>
    <w:rsid w:val="00B73DD8"/>
    <w:rsid w:val="00B847A0"/>
    <w:rsid w:val="00BB7DDD"/>
    <w:rsid w:val="00BC782D"/>
    <w:rsid w:val="00BD7B0F"/>
    <w:rsid w:val="00C042BD"/>
    <w:rsid w:val="00C110C3"/>
    <w:rsid w:val="00C1723E"/>
    <w:rsid w:val="00C21090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DB61F3"/>
    <w:rsid w:val="00E2517C"/>
    <w:rsid w:val="00E4369A"/>
    <w:rsid w:val="00E44091"/>
    <w:rsid w:val="00E5687E"/>
    <w:rsid w:val="00E71DB8"/>
    <w:rsid w:val="00E845E5"/>
    <w:rsid w:val="00EB26E8"/>
    <w:rsid w:val="00ED05B2"/>
    <w:rsid w:val="00ED3C02"/>
    <w:rsid w:val="00F16DFA"/>
    <w:rsid w:val="00F74B48"/>
    <w:rsid w:val="00F8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A4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A48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79</cp:revision>
  <dcterms:created xsi:type="dcterms:W3CDTF">2020-04-05T12:56:00Z</dcterms:created>
  <dcterms:modified xsi:type="dcterms:W3CDTF">2021-04-17T07:46:00Z</dcterms:modified>
</cp:coreProperties>
</file>