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F846F" w14:textId="77777777" w:rsidR="0065589C" w:rsidRDefault="00000000">
      <w:pPr>
        <w:pStyle w:val="Ttulo"/>
        <w:jc w:val="center"/>
      </w:pPr>
      <w:r>
        <w:t xml:space="preserve">Detalle de diseño para PCB del </w:t>
      </w:r>
      <w:r>
        <w:br/>
        <w:t>Búfer de entrada</w:t>
      </w:r>
    </w:p>
    <w:p w14:paraId="0AF84036" w14:textId="5737100E" w:rsidR="0065589C" w:rsidRDefault="00000000">
      <w:pPr>
        <w:pStyle w:val="Standard"/>
        <w:jc w:val="right"/>
      </w:pPr>
      <w:r>
        <w:t xml:space="preserve">GFC, </w:t>
      </w:r>
      <w:r w:rsidR="006331D3" w:rsidRPr="006331D3">
        <w:rPr>
          <w:highlight w:val="yellow"/>
        </w:rPr>
        <w:t>septiembre</w:t>
      </w:r>
      <w:r>
        <w:t xml:space="preserve"> 2024.</w:t>
      </w:r>
    </w:p>
    <w:p w14:paraId="70C41FB2" w14:textId="77777777" w:rsidR="0065589C" w:rsidRDefault="00000000">
      <w:pPr>
        <w:pStyle w:val="Ttulo1"/>
      </w:pPr>
      <w:bookmarkStart w:id="0" w:name="_iy43607d26h3"/>
      <w:bookmarkEnd w:id="0"/>
      <w:r>
        <w:t>Resumen</w:t>
      </w:r>
    </w:p>
    <w:p w14:paraId="2F00E5D4" w14:textId="77777777" w:rsidR="0065589C" w:rsidRDefault="00000000">
      <w:pPr>
        <w:pStyle w:val="Standard"/>
      </w:pPr>
      <w:r>
        <w:t>Detallamos el esquemático y la lista de componentes para el PCB (</w:t>
      </w:r>
      <w:r>
        <w:rPr>
          <w:i/>
          <w:iCs/>
        </w:rPr>
        <w:t>Printed Circuit Board</w:t>
      </w:r>
      <w:r>
        <w:t xml:space="preserve"> o placa de circuito impreso) de un bloque búfer de entrada de la capturadora de ISPEL. La placa tendrá dos bloques como éste. Diseñado para una tensión de alimentación de ±12 Vcc. Admite tensión de entrada de ±20 V.</w:t>
      </w:r>
    </w:p>
    <w:p w14:paraId="507DBAB9" w14:textId="77777777" w:rsidR="0065589C" w:rsidRDefault="00000000">
      <w:pPr>
        <w:pStyle w:val="Ttulo1"/>
      </w:pPr>
      <w:bookmarkStart w:id="1" w:name="_u1l1ibsdojdd"/>
      <w:bookmarkEnd w:id="1"/>
      <w:r>
        <w:t>Esquemático del búfer</w:t>
      </w:r>
    </w:p>
    <w:p w14:paraId="02713AB4" w14:textId="77777777" w:rsidR="0065589C" w:rsidRDefault="00000000">
      <w:pPr>
        <w:pStyle w:val="Standard"/>
      </w:pPr>
      <w:r>
        <w:t>El esquemático del circuito:</w:t>
      </w:r>
    </w:p>
    <w:p w14:paraId="4CE5C9A8" w14:textId="77777777" w:rsidR="0065589C" w:rsidRDefault="0065589C">
      <w:pPr>
        <w:pStyle w:val="Standard"/>
      </w:pPr>
    </w:p>
    <w:p w14:paraId="267609B4" w14:textId="771D32A7" w:rsidR="0065589C" w:rsidRDefault="006331D3">
      <w:pPr>
        <w:pStyle w:val="Standard"/>
      </w:pPr>
      <w:r>
        <w:rPr>
          <w:noProof/>
        </w:rPr>
        <w:drawing>
          <wp:inline distT="0" distB="0" distL="0" distR="0" wp14:anchorId="362D1526" wp14:editId="62A9B340">
            <wp:extent cx="5731510" cy="3256280"/>
            <wp:effectExtent l="0" t="0" r="2540" b="1270"/>
            <wp:docPr id="30539617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96176" name="Imagen 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671" w14:textId="496F7168" w:rsidR="0065589C" w:rsidRDefault="00000000">
      <w:pPr>
        <w:pStyle w:val="Standard"/>
        <w:jc w:val="center"/>
      </w:pPr>
      <w:r>
        <w:rPr>
          <w:b/>
          <w:bCs/>
        </w:rPr>
        <w:t>Figura 1.</w:t>
      </w:r>
      <w:r>
        <w:t xml:space="preserve"> Esquemático del circuito búfer de entrada</w:t>
      </w:r>
      <w:r w:rsidR="006331D3">
        <w:t xml:space="preserve"> con </w:t>
      </w:r>
      <w:r w:rsidR="006331D3" w:rsidRPr="006331D3">
        <w:rPr>
          <w:highlight w:val="yellow"/>
        </w:rPr>
        <w:t>TL07x</w:t>
      </w:r>
      <w:r>
        <w:t>.</w:t>
      </w:r>
    </w:p>
    <w:p w14:paraId="6B20FB6E" w14:textId="77777777" w:rsidR="0065589C" w:rsidRDefault="0065589C">
      <w:pPr>
        <w:pStyle w:val="Standard"/>
      </w:pPr>
    </w:p>
    <w:p w14:paraId="6B5A9582" w14:textId="77777777" w:rsidR="0065589C" w:rsidRDefault="00000000">
      <w:pPr>
        <w:pStyle w:val="Standard"/>
      </w:pPr>
      <w:r>
        <w:t>Una síntesis de la fundamentación del diseño se encuentra en [1].</w:t>
      </w:r>
    </w:p>
    <w:p w14:paraId="0D268175" w14:textId="77777777" w:rsidR="0065589C" w:rsidRDefault="0065589C">
      <w:pPr>
        <w:pStyle w:val="Standard"/>
      </w:pPr>
    </w:p>
    <w:p w14:paraId="19412845" w14:textId="77777777" w:rsidR="0065589C" w:rsidRDefault="00000000">
      <w:pPr>
        <w:pStyle w:val="Standard"/>
      </w:pPr>
      <w:r>
        <w:t xml:space="preserve">La placa principal de ISPEL debe incluir dos de estos búferes. Este primer búfer lleva los </w:t>
      </w:r>
      <w:r>
        <w:rPr>
          <w:shd w:val="clear" w:color="auto" w:fill="00FF00"/>
        </w:rPr>
        <w:t>números desde 20 hasta 29</w:t>
      </w:r>
      <w:r>
        <w:t xml:space="preserve">. El segundo lleva los </w:t>
      </w:r>
      <w:r>
        <w:rPr>
          <w:shd w:val="clear" w:color="auto" w:fill="00FF00"/>
        </w:rPr>
        <w:t>números desde 30 hasta 39</w:t>
      </w:r>
      <w:r>
        <w:t>. (Aunque en principio se evita utilizar 20 y 30.)</w:t>
      </w:r>
    </w:p>
    <w:p w14:paraId="73B28C78" w14:textId="77777777" w:rsidR="0065589C" w:rsidRDefault="0065589C">
      <w:pPr>
        <w:pStyle w:val="Standard"/>
      </w:pPr>
    </w:p>
    <w:p w14:paraId="23C3DAA5" w14:textId="77777777" w:rsidR="0065589C" w:rsidRDefault="00000000">
      <w:pPr>
        <w:pStyle w:val="Standard"/>
      </w:pPr>
      <w:r>
        <w:t>Comentarios puntuales:</w:t>
      </w:r>
    </w:p>
    <w:p w14:paraId="2BA7B9F1" w14:textId="51573EB3" w:rsidR="0065589C" w:rsidRDefault="00000000">
      <w:pPr>
        <w:pStyle w:val="Prrafodelista"/>
        <w:numPr>
          <w:ilvl w:val="0"/>
          <w:numId w:val="5"/>
        </w:numPr>
      </w:pPr>
      <w:r>
        <w:t>Las conexiones ADC</w:t>
      </w:r>
      <w:r w:rsidR="00A74D82">
        <w:t>x_C</w:t>
      </w:r>
      <w:r>
        <w:t>20 y ADC</w:t>
      </w:r>
      <w:r w:rsidR="00A74D82">
        <w:t>xC</w:t>
      </w:r>
      <w:r>
        <w:t>10 van directamente a un pin del conector de la placa Nucleo-144.</w:t>
      </w:r>
      <w:r w:rsidR="00A74D82">
        <w:t xml:space="preserve"> Corresponden a las escalas de 20 V y 10 V del ADCx (1 ó 2).</w:t>
      </w:r>
    </w:p>
    <w:p w14:paraId="5C952FC3" w14:textId="56875014" w:rsidR="0065589C" w:rsidRDefault="00000000">
      <w:pPr>
        <w:pStyle w:val="Prrafodelista"/>
        <w:numPr>
          <w:ilvl w:val="0"/>
          <w:numId w:val="4"/>
        </w:numPr>
      </w:pPr>
      <w:r>
        <w:lastRenderedPageBreak/>
        <w:t xml:space="preserve">La </w:t>
      </w:r>
      <w:r w:rsidR="00A74D82">
        <w:t>e</w:t>
      </w:r>
      <w:r>
        <w:t xml:space="preserve">ntrada </w:t>
      </w:r>
      <w:r w:rsidR="00A74D82">
        <w:t xml:space="preserve">Ex </w:t>
      </w:r>
      <w:r>
        <w:t>va desde la placa hasta el conector de chasis BNC.</w:t>
      </w:r>
    </w:p>
    <w:p w14:paraId="6256242E" w14:textId="77777777" w:rsidR="0065589C" w:rsidRDefault="00000000">
      <w:pPr>
        <w:pStyle w:val="Prrafodelista"/>
        <w:numPr>
          <w:ilvl w:val="0"/>
          <w:numId w:val="4"/>
        </w:numPr>
      </w:pPr>
      <w:r>
        <w:t>El fusible F21 pueden ser reemplazados por resistencias de baja resistencia.</w:t>
      </w:r>
    </w:p>
    <w:p w14:paraId="1DB6D879" w14:textId="77777777" w:rsidR="0065589C" w:rsidRDefault="00000000">
      <w:pPr>
        <w:pStyle w:val="Ttulo1"/>
      </w:pPr>
      <w:r>
        <w:t>Enumeración de componentes</w:t>
      </w:r>
    </w:p>
    <w:p w14:paraId="0A9B52AE" w14:textId="77777777" w:rsidR="0065589C" w:rsidRDefault="00000000">
      <w:pPr>
        <w:pStyle w:val="Standard"/>
      </w:pPr>
      <w:r>
        <w:t>En la tabla se enumera componente a componente del esquemático [2].</w:t>
      </w:r>
    </w:p>
    <w:p w14:paraId="03BFA3F2" w14:textId="77777777" w:rsidR="0065589C" w:rsidRDefault="0065589C">
      <w:pPr>
        <w:pStyle w:val="Standard"/>
      </w:pPr>
    </w:p>
    <w:p w14:paraId="6A01405F" w14:textId="712CBA13" w:rsidR="0065589C" w:rsidRDefault="00000000">
      <w:pPr>
        <w:pStyle w:val="Standard"/>
        <w:jc w:val="center"/>
      </w:pPr>
      <w:r>
        <w:rPr>
          <w:b/>
          <w:bCs/>
        </w:rPr>
        <w:t>Tabla Nº 1.</w:t>
      </w:r>
      <w:r>
        <w:t xml:space="preserve"> Enumeración de cada componente utilizado</w:t>
      </w:r>
      <w:r w:rsidR="006331D3">
        <w:t xml:space="preserve"> (</w:t>
      </w:r>
      <w:r w:rsidR="006331D3" w:rsidRPr="006331D3">
        <w:rPr>
          <w:highlight w:val="yellow"/>
        </w:rPr>
        <w:t>versión septiembre</w:t>
      </w:r>
      <w:r w:rsidR="006331D3">
        <w:t xml:space="preserve">). </w:t>
      </w:r>
    </w:p>
    <w:tbl>
      <w:tblPr>
        <w:tblW w:w="8415" w:type="dxa"/>
        <w:tblInd w:w="-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8"/>
        <w:gridCol w:w="1737"/>
        <w:gridCol w:w="3260"/>
        <w:gridCol w:w="992"/>
        <w:gridCol w:w="908"/>
      </w:tblGrid>
      <w:tr w:rsidR="0065589C" w14:paraId="2909F515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0F64F6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Denominación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62A11326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58687437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Componente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3A3F52E6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Montaje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2A5C1121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Tamaño</w:t>
            </w:r>
          </w:p>
        </w:tc>
      </w:tr>
      <w:tr w:rsidR="0065589C" w14:paraId="775B5D6D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7E0BF526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U21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8C0C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Circuito Integrado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90DA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LM318 = amplificador operacional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AE8F3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B859D6" w14:textId="77777777" w:rsidR="0065589C" w:rsidRDefault="0065589C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</w:p>
        </w:tc>
      </w:tr>
      <w:tr w:rsidR="0065589C" w14:paraId="627439A1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C1404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882D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647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390k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1A4A4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A11A2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26698C35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D3C70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86525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10EF4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560k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B8485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BB16E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160886C0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34984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C1EF0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A905E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8136EB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24CE3B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25DDD13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263B01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B28B9A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A25E8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2054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60C47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069C7763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F7058F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D08E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6B6A7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E074A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E81C8E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6B6AC14A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9CD7E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4531A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C4C22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59CE8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54E1E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BC3CE8E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862F96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DC898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93BEA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05EDA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9EE9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1B5A13E6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C94084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BD02D6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22A16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47k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961E0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0B662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0F8B45A8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A2775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F41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88A99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Fusible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DEE9E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100mA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BF6FC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2EDAC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5467FB9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FBF733" w14:textId="6B7682D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</w:t>
            </w:r>
            <w:r w:rsidR="006331D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7501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D795C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3.3pF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9A124A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BC8BA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0FB7D8A3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9ED85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DF40DF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C8AA1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10pF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32109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B361B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67E9B66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FE9911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2EF54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E42E4E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D11011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62630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404CD75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C824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BFB3B1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5D608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4DAD2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F7B5C4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1C235DFB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4AF69E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3F89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C3C58A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E2A6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2E9BFF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331D3" w14:paraId="1751CFA6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D1B3F9" w14:textId="234E6E46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21E90" w14:textId="090262C0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Diodo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8B629D" w14:textId="72256EF5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1N4148 SMD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52F4E0" w14:textId="12576B64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893F64" w14:textId="77777777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</w:p>
        </w:tc>
      </w:tr>
      <w:tr w:rsidR="006331D3" w14:paraId="7480312A" w14:textId="77777777"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95A13" w14:textId="0CE93BC9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D22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A18303" w14:textId="2F5C9C19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Diodo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2BEA86" w14:textId="53C1A656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1N4148 SMD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D0E7C0" w14:textId="0E3DBCC4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579F1F" w14:textId="77777777" w:rsidR="006331D3" w:rsidRDefault="006331D3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</w:p>
        </w:tc>
      </w:tr>
    </w:tbl>
    <w:p w14:paraId="13D91F95" w14:textId="77777777" w:rsidR="0065589C" w:rsidRDefault="0065589C">
      <w:pPr>
        <w:pStyle w:val="Standard"/>
        <w:widowControl w:val="0"/>
      </w:pPr>
    </w:p>
    <w:p w14:paraId="0B9D4FDA" w14:textId="77777777" w:rsidR="0065589C" w:rsidRDefault="00000000">
      <w:pPr>
        <w:pStyle w:val="Ttulo1"/>
      </w:pPr>
      <w:r>
        <w:t>Referencias</w:t>
      </w:r>
    </w:p>
    <w:p w14:paraId="2D0D24EE" w14:textId="77777777" w:rsidR="0065589C" w:rsidRDefault="00000000">
      <w:pPr>
        <w:pStyle w:val="Standard"/>
        <w:ind w:left="567" w:hanging="567"/>
      </w:pPr>
      <w:r>
        <w:t xml:space="preserve">[1] </w:t>
      </w:r>
      <w:r>
        <w:tab/>
        <w:t xml:space="preserve">GFC (2024). “Diseño de búfer de entrada”. Enlace: </w:t>
      </w:r>
      <w:hyperlink r:id="rId8" w:history="1">
        <w:r w:rsidR="0065589C">
          <w:rPr>
            <w:rStyle w:val="Internetlink"/>
            <w:rFonts w:ascii="Arial" w:eastAsia="Courier New" w:hAnsi="Arial" w:cs="Arial"/>
          </w:rPr>
          <w:t>https://docs.google.com/document/d/1XIOGIjF2zPnPoXZ9g1EdLEjXvGIiIRms/</w:t>
        </w:r>
      </w:hyperlink>
    </w:p>
    <w:p w14:paraId="4F7C0C4F" w14:textId="77777777" w:rsidR="00A74D82" w:rsidRDefault="00A74D82">
      <w:pPr>
        <w:pStyle w:val="Standard"/>
        <w:ind w:left="567" w:hanging="567"/>
      </w:pPr>
    </w:p>
    <w:p w14:paraId="1B27B6D3" w14:textId="2017E36A" w:rsidR="0065589C" w:rsidRDefault="00000000">
      <w:pPr>
        <w:pStyle w:val="Standard"/>
        <w:ind w:left="567" w:hanging="567"/>
      </w:pPr>
      <w:r>
        <w:t xml:space="preserve">[2] </w:t>
      </w:r>
      <w:r>
        <w:tab/>
        <w:t xml:space="preserve">GFC (2024). “Enumeración de componentes para búfer”. Enlace: </w:t>
      </w:r>
      <w:hyperlink r:id="rId9" w:history="1">
        <w:r w:rsidR="0065589C">
          <w:rPr>
            <w:rStyle w:val="Internetlink"/>
            <w:rFonts w:ascii="Arial" w:eastAsia="Courier New" w:hAnsi="Arial" w:cs="Arial"/>
          </w:rPr>
          <w:t>https://docs.google.com/spreadsheets/d/1XYjbo-gOrQfNaUSXX5qy8dzuD3_tEFWL/</w:t>
        </w:r>
      </w:hyperlink>
    </w:p>
    <w:p w14:paraId="5D9D7838" w14:textId="77777777" w:rsidR="0065589C" w:rsidRDefault="0065589C">
      <w:pPr>
        <w:pStyle w:val="Standard"/>
        <w:ind w:left="567" w:hanging="567"/>
      </w:pPr>
    </w:p>
    <w:p w14:paraId="7D19E5B1" w14:textId="77777777" w:rsidR="0065589C" w:rsidRDefault="0065589C">
      <w:pPr>
        <w:pStyle w:val="Standard"/>
        <w:ind w:left="567" w:hanging="567"/>
      </w:pPr>
    </w:p>
    <w:sectPr w:rsidR="0065589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E8D8C" w14:textId="77777777" w:rsidR="009769EE" w:rsidRDefault="009769EE">
      <w:r>
        <w:separator/>
      </w:r>
    </w:p>
  </w:endnote>
  <w:endnote w:type="continuationSeparator" w:id="0">
    <w:p w14:paraId="308B8B39" w14:textId="77777777" w:rsidR="009769EE" w:rsidRDefault="0097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E183D" w14:textId="77777777" w:rsidR="009769EE" w:rsidRDefault="009769EE">
      <w:r>
        <w:rPr>
          <w:color w:val="000000"/>
        </w:rPr>
        <w:separator/>
      </w:r>
    </w:p>
  </w:footnote>
  <w:footnote w:type="continuationSeparator" w:id="0">
    <w:p w14:paraId="4D2DEA63" w14:textId="77777777" w:rsidR="009769EE" w:rsidRDefault="0097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D5A0B"/>
    <w:multiLevelType w:val="multilevel"/>
    <w:tmpl w:val="3FDC662A"/>
    <w:styleLink w:val="WWNum2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4A171787"/>
    <w:multiLevelType w:val="multilevel"/>
    <w:tmpl w:val="AF76EEFE"/>
    <w:styleLink w:val="WWNum1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2" w15:restartNumberingAfterBreak="0">
    <w:nsid w:val="5DC642B6"/>
    <w:multiLevelType w:val="multilevel"/>
    <w:tmpl w:val="F9724500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</w:rPr>
    </w:lvl>
  </w:abstractNum>
  <w:abstractNum w:abstractNumId="3" w15:restartNumberingAfterBreak="0">
    <w:nsid w:val="618F6B31"/>
    <w:multiLevelType w:val="multilevel"/>
    <w:tmpl w:val="29726C3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472480693">
    <w:abstractNumId w:val="1"/>
  </w:num>
  <w:num w:numId="2" w16cid:durableId="1933850956">
    <w:abstractNumId w:val="0"/>
  </w:num>
  <w:num w:numId="3" w16cid:durableId="971445858">
    <w:abstractNumId w:val="2"/>
  </w:num>
  <w:num w:numId="4" w16cid:durableId="1665863536">
    <w:abstractNumId w:val="3"/>
  </w:num>
  <w:num w:numId="5" w16cid:durableId="784471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89C"/>
    <w:rsid w:val="0021480B"/>
    <w:rsid w:val="00513CE8"/>
    <w:rsid w:val="005A65C3"/>
    <w:rsid w:val="006331D3"/>
    <w:rsid w:val="0065589C"/>
    <w:rsid w:val="006C4842"/>
    <w:rsid w:val="009769EE"/>
    <w:rsid w:val="00A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D3F7"/>
  <w15:docId w15:val="{BC4B9A82-4F2D-4A9A-9683-1BC14CA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anormal1">
    <w:name w:val="Tabla normal1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TableNormal">
    <w:name w:val="Table Normal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Estilo">
    <w:name w:val="Estilo"/>
    <w:basedOn w:val="TableNormal"/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Standard"/>
    <w:pPr>
      <w:ind w:left="720"/>
      <w:contextualSpacing/>
    </w:pPr>
  </w:style>
  <w:style w:type="character" w:customStyle="1" w:styleId="Ttulo1Car">
    <w:name w:val="Título 1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TtuloCar">
    <w:name w:val="Título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SubttuloCar">
    <w:name w:val="Subtítulo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Fuentedeprrafopredeter"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styleId="Mencinsinresolver">
    <w:name w:val="Unresolved Mention"/>
    <w:basedOn w:val="Fuentedeprrafopredeter"/>
    <w:rPr>
      <w:rFonts w:ascii="Times New Roman" w:eastAsia="Times New Roman" w:hAnsi="Times New Roman" w:cs="Times New Roman"/>
      <w:color w:val="605E5C"/>
      <w:sz w:val="24"/>
      <w:szCs w:val="24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IOGIjF2zPnPoXZ9g1EdLEjXvGIiIRm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XYjbo-gOrQfNaUSXX5qy8dzuD3_tEFW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362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Caporaletti</dc:creator>
  <cp:lastModifiedBy>Guillermo Caporaletti</cp:lastModifiedBy>
  <cp:revision>4</cp:revision>
  <dcterms:created xsi:type="dcterms:W3CDTF">2024-08-04T15:06:00Z</dcterms:created>
  <dcterms:modified xsi:type="dcterms:W3CDTF">2024-10-02T15:04:00Z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Guillermo Caporaletti</vt:lpwstr>
  </property>
</Properties>
</file>