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761C" w14:textId="77777777" w:rsidR="000233AC" w:rsidRDefault="00000000" w:rsidP="009A2F1A">
      <w:pPr>
        <w:pStyle w:val="Ttulo"/>
        <w:keepNext w:val="0"/>
        <w:keepLines w:val="0"/>
        <w:widowControl w:val="0"/>
        <w:suppressAutoHyphens w:val="0"/>
        <w:jc w:val="center"/>
      </w:pPr>
      <w:r>
        <w:t xml:space="preserve">Detalle de diseño para PCB </w:t>
      </w:r>
      <w:r>
        <w:br/>
        <w:t>del bloque Fuente</w:t>
      </w:r>
    </w:p>
    <w:p w14:paraId="039FD004" w14:textId="77777777" w:rsidR="000233AC" w:rsidRDefault="00000000" w:rsidP="009A2F1A">
      <w:pPr>
        <w:pStyle w:val="Standard"/>
        <w:widowControl w:val="0"/>
        <w:suppressAutoHyphens w:val="0"/>
        <w:jc w:val="right"/>
      </w:pPr>
      <w:r>
        <w:t>GFC, julio 2024.</w:t>
      </w:r>
    </w:p>
    <w:p w14:paraId="24FBDF23" w14:textId="77777777" w:rsidR="000233AC" w:rsidRDefault="00000000" w:rsidP="009A2F1A">
      <w:pPr>
        <w:pStyle w:val="Ttulo1"/>
        <w:keepNext w:val="0"/>
        <w:keepLines w:val="0"/>
        <w:widowControl w:val="0"/>
        <w:suppressAutoHyphens w:val="0"/>
      </w:pPr>
      <w:bookmarkStart w:id="0" w:name="_iy43607d26h3"/>
      <w:bookmarkEnd w:id="0"/>
      <w:r>
        <w:t>Resumen</w:t>
      </w:r>
    </w:p>
    <w:p w14:paraId="6DAC0653" w14:textId="77777777" w:rsidR="000233AC" w:rsidRDefault="00000000" w:rsidP="009A2F1A">
      <w:pPr>
        <w:pStyle w:val="Standard"/>
        <w:widowControl w:val="0"/>
        <w:suppressAutoHyphens w:val="0"/>
      </w:pPr>
      <w:r>
        <w:t>Detallamos el esquemático y la lista de componentes para el PCB (</w:t>
      </w:r>
      <w:proofErr w:type="spellStart"/>
      <w:r>
        <w:rPr>
          <w:i/>
          <w:iCs/>
        </w:rPr>
        <w:t>Printed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Circuit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Board</w:t>
      </w:r>
      <w:proofErr w:type="spellEnd"/>
      <w:r>
        <w:t xml:space="preserve"> o placa de circuito impreso) de un bloque Fuente para ISPEL. Las salidas deseadas son: ±12 VDC con 1 A; 7 VDC con 500 mA; y una tensión de referencia estable de 3,3 VDC aproximadamente. La tensión de 5 VDC se logrará con el regulador de la propia placa Nucleo-144.</w:t>
      </w:r>
    </w:p>
    <w:p w14:paraId="7B7B86E6" w14:textId="77777777" w:rsidR="000233AC" w:rsidRDefault="00000000" w:rsidP="009A2F1A">
      <w:pPr>
        <w:pStyle w:val="Ttulo1"/>
        <w:keepNext w:val="0"/>
        <w:keepLines w:val="0"/>
        <w:widowControl w:val="0"/>
        <w:suppressAutoHyphens w:val="0"/>
      </w:pPr>
      <w:bookmarkStart w:id="1" w:name="_u1l1ibsdojdd"/>
      <w:bookmarkEnd w:id="1"/>
      <w:r>
        <w:t>Esquemático de la Fuente</w:t>
      </w:r>
    </w:p>
    <w:p w14:paraId="4CF3235C" w14:textId="77777777" w:rsidR="000233AC" w:rsidRDefault="00000000" w:rsidP="009A2F1A">
      <w:pPr>
        <w:pStyle w:val="Standard"/>
        <w:widowControl w:val="0"/>
        <w:suppressAutoHyphens w:val="0"/>
      </w:pPr>
      <w:r>
        <w:t>El esquemático del circuito:</w:t>
      </w:r>
    </w:p>
    <w:p w14:paraId="26A0595D" w14:textId="77777777" w:rsidR="000233AC" w:rsidRDefault="000233AC" w:rsidP="009A2F1A">
      <w:pPr>
        <w:pStyle w:val="Standard"/>
        <w:widowControl w:val="0"/>
        <w:suppressAutoHyphens w:val="0"/>
      </w:pPr>
    </w:p>
    <w:p w14:paraId="7ED66858" w14:textId="49B77F45" w:rsidR="009A2F1A" w:rsidRDefault="009A2F1A" w:rsidP="009A2F1A">
      <w:pPr>
        <w:pStyle w:val="Standard"/>
        <w:widowControl w:val="0"/>
        <w:suppressAutoHyphens w:val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9A540F" wp14:editId="29039CF7">
            <wp:extent cx="3788228" cy="4491199"/>
            <wp:effectExtent l="0" t="0" r="3175" b="5080"/>
            <wp:docPr id="2041958980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8980" name="Imagen 1" descr="Diagrama, Esquemát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50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0F90" w14:textId="1D23BB55" w:rsidR="000233AC" w:rsidRDefault="00000000" w:rsidP="009A2F1A">
      <w:pPr>
        <w:pStyle w:val="Standard"/>
        <w:widowControl w:val="0"/>
        <w:suppressAutoHyphens w:val="0"/>
        <w:jc w:val="center"/>
      </w:pPr>
      <w:r>
        <w:rPr>
          <w:b/>
          <w:bCs/>
        </w:rPr>
        <w:t>Figura 1.</w:t>
      </w:r>
      <w:r>
        <w:t xml:space="preserve"> Esquemático del circuito búfer de entrada.</w:t>
      </w:r>
    </w:p>
    <w:p w14:paraId="080EEBCC" w14:textId="77777777" w:rsidR="000233AC" w:rsidRDefault="000233AC" w:rsidP="009A2F1A">
      <w:pPr>
        <w:pStyle w:val="Standard"/>
        <w:widowControl w:val="0"/>
        <w:suppressAutoHyphens w:val="0"/>
      </w:pPr>
    </w:p>
    <w:p w14:paraId="3F78948D" w14:textId="77777777" w:rsidR="000233AC" w:rsidRDefault="00000000" w:rsidP="009A2F1A">
      <w:pPr>
        <w:pStyle w:val="Standard"/>
        <w:widowControl w:val="0"/>
        <w:suppressAutoHyphens w:val="0"/>
      </w:pPr>
      <w:r>
        <w:t>Una síntesis de la fundamentación del diseño se encuentra en [1].</w:t>
      </w:r>
    </w:p>
    <w:p w14:paraId="481E000C" w14:textId="77777777" w:rsidR="000233AC" w:rsidRDefault="00000000" w:rsidP="009A2F1A">
      <w:pPr>
        <w:pStyle w:val="Ttulo1"/>
        <w:keepNext w:val="0"/>
        <w:keepLines w:val="0"/>
        <w:widowControl w:val="0"/>
        <w:suppressAutoHyphens w:val="0"/>
      </w:pPr>
      <w:r>
        <w:lastRenderedPageBreak/>
        <w:t>Enumeración de componentes</w:t>
      </w:r>
    </w:p>
    <w:p w14:paraId="41F49723" w14:textId="77777777" w:rsidR="000233AC" w:rsidRDefault="00000000" w:rsidP="009A2F1A">
      <w:pPr>
        <w:pStyle w:val="Standard"/>
        <w:widowControl w:val="0"/>
        <w:suppressAutoHyphens w:val="0"/>
      </w:pPr>
      <w:r>
        <w:t>En la tabla se enumera componente a componente del esquemático [2].</w:t>
      </w:r>
    </w:p>
    <w:p w14:paraId="5F56FE31" w14:textId="77777777" w:rsidR="000233AC" w:rsidRDefault="000233AC" w:rsidP="009A2F1A">
      <w:pPr>
        <w:pStyle w:val="Standard"/>
        <w:widowControl w:val="0"/>
        <w:suppressAutoHyphens w:val="0"/>
      </w:pPr>
    </w:p>
    <w:p w14:paraId="27628DE5" w14:textId="77777777" w:rsidR="000233AC" w:rsidRDefault="00000000" w:rsidP="009A2F1A">
      <w:pPr>
        <w:pStyle w:val="Standard"/>
        <w:widowControl w:val="0"/>
        <w:suppressAutoHyphens w:val="0"/>
        <w:jc w:val="center"/>
      </w:pPr>
      <w:r>
        <w:rPr>
          <w:b/>
          <w:bCs/>
        </w:rPr>
        <w:t xml:space="preserve">Tabla </w:t>
      </w:r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1.</w:t>
      </w:r>
      <w:r>
        <w:t xml:space="preserve"> Enumeración de cada componente utilizado</w:t>
      </w:r>
    </w:p>
    <w:tbl>
      <w:tblPr>
        <w:tblW w:w="749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1819"/>
        <w:gridCol w:w="1875"/>
        <w:gridCol w:w="1012"/>
        <w:gridCol w:w="1191"/>
      </w:tblGrid>
      <w:tr w:rsidR="000233AC" w14:paraId="28ECE523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EA59D8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Denominación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bottom"/>
          </w:tcPr>
          <w:p w14:paraId="5B856A2A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bottom"/>
          </w:tcPr>
          <w:p w14:paraId="2846BE07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Componente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bottom"/>
          </w:tcPr>
          <w:p w14:paraId="3CF4D42E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Montaje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bottom"/>
          </w:tcPr>
          <w:p w14:paraId="177CC70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Tamaño</w:t>
            </w:r>
          </w:p>
        </w:tc>
      </w:tr>
      <w:tr w:rsidR="000233AC" w14:paraId="28A89740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70" w:type="dxa"/>
              <w:bottom w:w="100" w:type="dxa"/>
              <w:right w:w="70" w:type="dxa"/>
            </w:tcMar>
            <w:vAlign w:val="bottom"/>
          </w:tcPr>
          <w:p w14:paraId="231F3806" w14:textId="77777777" w:rsidR="000233AC" w:rsidRDefault="00000000" w:rsidP="009A2F1A">
            <w:pPr>
              <w:pStyle w:val="Standard"/>
              <w:widowControl w:val="0"/>
              <w:suppressAutoHyphens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B4FC84" w14:textId="77777777" w:rsidR="000233AC" w:rsidRDefault="00000000" w:rsidP="009A2F1A">
            <w:pPr>
              <w:pStyle w:val="Standard"/>
              <w:widowControl w:val="0"/>
              <w:tabs>
                <w:tab w:val="left" w:pos="1800"/>
              </w:tabs>
              <w:suppressAutoHyphens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Circuito Integrado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D4858F3" w14:textId="77777777" w:rsidR="000233AC" w:rsidRDefault="00000000" w:rsidP="009A2F1A">
            <w:pPr>
              <w:pStyle w:val="Standard"/>
              <w:widowControl w:val="0"/>
              <w:suppressAutoHyphens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2W10 - Puente 2A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894C00" w14:textId="77777777" w:rsidR="000233AC" w:rsidRDefault="00000000" w:rsidP="009A2F1A">
            <w:pPr>
              <w:pStyle w:val="Standard"/>
              <w:widowControl w:val="0"/>
              <w:suppressAutoHyphens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358128" w14:textId="77777777" w:rsidR="000233AC" w:rsidRDefault="000233AC" w:rsidP="009A2F1A">
            <w:pPr>
              <w:pStyle w:val="Standard"/>
              <w:widowControl w:val="0"/>
              <w:suppressAutoHyphens w:val="0"/>
              <w:spacing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0233AC" w14:paraId="5F6F306E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BF432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80CF6B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Circuito Integrado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2A20CF2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LM350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D767E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BBA9191" w14:textId="77777777" w:rsidR="000233AC" w:rsidRDefault="000233AC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</w:p>
        </w:tc>
      </w:tr>
      <w:tr w:rsidR="000233AC" w14:paraId="7E048AEB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7A1D41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32272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Circuito Integrado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5D34F2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LM350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C51755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1CF589" w14:textId="77777777" w:rsidR="000233AC" w:rsidRDefault="000233AC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</w:p>
        </w:tc>
      </w:tr>
      <w:tr w:rsidR="000233AC" w14:paraId="0E0E56DB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5246D8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2748E7B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Circuito Integrado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8ADF80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LM337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ACEAAB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2B392AB" w14:textId="77777777" w:rsidR="000233AC" w:rsidRDefault="000233AC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</w:p>
        </w:tc>
      </w:tr>
      <w:tr w:rsidR="000233AC" w14:paraId="7E7ACE27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726D3E4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9BC4D9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Circuito Integrado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DB6556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TL431 - SOT23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4CB9065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6F7224" w14:textId="77777777" w:rsidR="000233AC" w:rsidRDefault="000233AC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</w:p>
        </w:tc>
      </w:tr>
      <w:tr w:rsidR="000233AC" w14:paraId="2F0D5B55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843B0C5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E1401E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765B4D6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1/8W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D74BD6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851F45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1744871D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758760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D729E4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6EFC9F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150k 1/8W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DE5613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A98E98D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01E5B661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00228D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3A4BD9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7C8864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690 1/8W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8945E3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4ADBF8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0AA6C8E5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4924F53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BFA03D0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71192F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1/8W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DFD2A8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7A11B72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19FAE266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75C2E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FC3A762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F937A9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1,2k 1/8W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D93F2A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58EFF9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31860D4B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8CC2CB6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BDC0AC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97154B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 1/8W (</w:t>
            </w:r>
            <w:proofErr w:type="spellStart"/>
            <w:r>
              <w:rPr>
                <w:color w:val="000000"/>
                <w:sz w:val="20"/>
                <w:szCs w:val="20"/>
              </w:rPr>
              <w:t>ó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82)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18A846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AFC70F4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225EC347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EB8C91D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20859B2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65B463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1/8W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9C6390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87373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554B2A93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764366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C047A44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2D37738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 1/8W (</w:t>
            </w:r>
            <w:proofErr w:type="spellStart"/>
            <w:r>
              <w:rPr>
                <w:color w:val="000000"/>
                <w:sz w:val="20"/>
                <w:szCs w:val="20"/>
              </w:rPr>
              <w:t>ó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82)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5916420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BB1616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08C7F9BC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AD2869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F42A45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2068902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1,2k 1/8W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FC2F9F4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FBD284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2BCAABD2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C4445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7DE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40EB45A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330 1/8W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29D6EE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275A94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240CDBD6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2E58C7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109AB1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0B4E51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1,5k 1/8W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6C86759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3186CA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633CC0EE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C5A5C2A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18E6C4E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FDDDD40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4,7k 1/8W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D7DD630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8EC588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7A33D312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C25217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D3F7D9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FD82237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6900uF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A55E6A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23D876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28686A13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356030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B7E308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8DA2B2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6900uF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8A732A6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14ED5AE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167EF149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8BA2A07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EB2131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F6515B0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220nF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FDE651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E79820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79C0C358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FB38CA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BE6AD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164CB7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220nF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C89FDAB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D56642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5A9A15C6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131135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D882367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AC2F7B7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220nF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A60465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035329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45F196B5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4422A83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965DEC5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201D15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220nF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F088F96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7948FC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0233AC" w14:paraId="59BF1EAF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2F6934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E3ECB9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FD4035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220nF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952AA4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9192F2" w14:textId="77777777" w:rsidR="000233AC" w:rsidRDefault="00000000" w:rsidP="009A2F1A">
            <w:pPr>
              <w:pStyle w:val="Standard"/>
              <w:widowControl w:val="0"/>
              <w:suppressAutoHyphens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</w:tbl>
    <w:p w14:paraId="3BFB33A4" w14:textId="77777777" w:rsidR="000233AC" w:rsidRDefault="00000000" w:rsidP="009A2F1A">
      <w:pPr>
        <w:pStyle w:val="Ttulo1"/>
        <w:keepNext w:val="0"/>
        <w:keepLines w:val="0"/>
        <w:widowControl w:val="0"/>
        <w:suppressAutoHyphens w:val="0"/>
      </w:pPr>
      <w:r>
        <w:t>Referencias</w:t>
      </w:r>
    </w:p>
    <w:p w14:paraId="2EF8E1D6" w14:textId="77777777" w:rsidR="000233AC" w:rsidRDefault="00000000" w:rsidP="009A2F1A">
      <w:pPr>
        <w:pStyle w:val="Standard"/>
        <w:widowControl w:val="0"/>
        <w:suppressAutoHyphens w:val="0"/>
        <w:ind w:left="567" w:hanging="567"/>
      </w:pPr>
      <w:r>
        <w:t xml:space="preserve">[1] </w:t>
      </w:r>
      <w:r>
        <w:tab/>
        <w:t>GFC (2024). “Diseño de fuente”. Enlace:</w:t>
      </w:r>
    </w:p>
    <w:p w14:paraId="225DDF01" w14:textId="77777777" w:rsidR="000233AC" w:rsidRDefault="00000000" w:rsidP="009A2F1A">
      <w:pPr>
        <w:pStyle w:val="Standard"/>
        <w:widowControl w:val="0"/>
        <w:suppressAutoHyphens w:val="0"/>
        <w:ind w:left="567" w:hanging="567"/>
      </w:pPr>
      <w:r>
        <w:t xml:space="preserve">[2] </w:t>
      </w:r>
      <w:r>
        <w:tab/>
        <w:t>GFC (2024). “Enumeración de componentes para fuente”. Enlace:</w:t>
      </w:r>
    </w:p>
    <w:sectPr w:rsidR="000233AC" w:rsidSect="009A2F1A">
      <w:pgSz w:w="11906" w:h="16838"/>
      <w:pgMar w:top="1440" w:right="1440" w:bottom="141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E204A" w14:textId="77777777" w:rsidR="00670A11" w:rsidRDefault="00670A11">
      <w:r>
        <w:separator/>
      </w:r>
    </w:p>
  </w:endnote>
  <w:endnote w:type="continuationSeparator" w:id="0">
    <w:p w14:paraId="56B83E42" w14:textId="77777777" w:rsidR="00670A11" w:rsidRDefault="0067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E96BC" w14:textId="77777777" w:rsidR="00670A11" w:rsidRDefault="00670A11">
      <w:r>
        <w:rPr>
          <w:color w:val="000000"/>
        </w:rPr>
        <w:separator/>
      </w:r>
    </w:p>
  </w:footnote>
  <w:footnote w:type="continuationSeparator" w:id="0">
    <w:p w14:paraId="6BC23520" w14:textId="77777777" w:rsidR="00670A11" w:rsidRDefault="00670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66637"/>
    <w:multiLevelType w:val="multilevel"/>
    <w:tmpl w:val="4DE6FC92"/>
    <w:styleLink w:val="WWNum2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52E90C00"/>
    <w:multiLevelType w:val="multilevel"/>
    <w:tmpl w:val="12DA7488"/>
    <w:styleLink w:val="WWNum1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2" w15:restartNumberingAfterBreak="0">
    <w:nsid w:val="59310017"/>
    <w:multiLevelType w:val="multilevel"/>
    <w:tmpl w:val="31640ECC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650A7D37"/>
    <w:multiLevelType w:val="multilevel"/>
    <w:tmpl w:val="E654D01C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</w:rPr>
    </w:lvl>
  </w:abstractNum>
  <w:num w:numId="1" w16cid:durableId="196505658">
    <w:abstractNumId w:val="1"/>
  </w:num>
  <w:num w:numId="2" w16cid:durableId="85811775">
    <w:abstractNumId w:val="0"/>
  </w:num>
  <w:num w:numId="3" w16cid:durableId="1077897938">
    <w:abstractNumId w:val="3"/>
  </w:num>
  <w:num w:numId="4" w16cid:durableId="37015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233AC"/>
    <w:rsid w:val="000233AC"/>
    <w:rsid w:val="00670A11"/>
    <w:rsid w:val="006C4842"/>
    <w:rsid w:val="00920193"/>
    <w:rsid w:val="009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09CD"/>
  <w15:docId w15:val="{BC4B9A82-4F2D-4A9A-9683-1BC14CA2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anormal1">
    <w:name w:val="Tabla normal1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customStyle="1" w:styleId="TableNormal">
    <w:name w:val="Table Normal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Estilo">
    <w:name w:val="Estilo"/>
    <w:basedOn w:val="TableNormal"/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rrafodelista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Ttulo1Car">
    <w:name w:val="Título 1 Car"/>
    <w:basedOn w:val="Fuentedeprrafopredeter"/>
    <w:rPr>
      <w:rFonts w:ascii="Calibri" w:eastAsia="Times New Roman" w:hAnsi="Calibri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TtuloCar">
    <w:name w:val="Título Car"/>
    <w:basedOn w:val="Fuentedeprrafopredeter"/>
    <w:rPr>
      <w:rFonts w:ascii="Calibri" w:eastAsia="Times New Roman" w:hAnsi="Calibri" w:cs="Times New Roman"/>
      <w:b/>
      <w:bCs/>
      <w:kern w:val="3"/>
      <w:sz w:val="32"/>
      <w:szCs w:val="32"/>
    </w:rPr>
  </w:style>
  <w:style w:type="character" w:customStyle="1" w:styleId="SubttuloCar">
    <w:name w:val="Subtítulo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Fuentedeprrafopredeter"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styleId="Mencinsinresolver">
    <w:name w:val="Unresolved Mention"/>
    <w:basedOn w:val="Fuentedeprrafopredeter"/>
    <w:rPr>
      <w:rFonts w:ascii="Times New Roman" w:eastAsia="Times New Roman" w:hAnsi="Times New Roman" w:cs="Times New Roman"/>
      <w:color w:val="605E5C"/>
      <w:sz w:val="24"/>
      <w:szCs w:val="24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Caporaletti</dc:creator>
  <cp:lastModifiedBy>Guillermo Caporaletti</cp:lastModifiedBy>
  <cp:revision>3</cp:revision>
  <dcterms:created xsi:type="dcterms:W3CDTF">2024-08-04T14:31:00Z</dcterms:created>
  <dcterms:modified xsi:type="dcterms:W3CDTF">2024-08-04T14:46:00Z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Guillermo Caporaletti</vt:lpwstr>
  </property>
</Properties>
</file>