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per mq 3787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