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26-06-2020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Parrella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Antonietta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Gisoldi</w:t>
      </w:r>
      <w:r w:rsidR="00DB4035" w:rsidRPr="00F15F1C">
        <w:rPr>
          <w:rFonts w:ascii="Courier New" w:hAnsi="Courier New"/>
          <w:b/>
        </w:rPr>
        <w:t xml:space="preserve"> Fernando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Iadanza Nicola (15-1-1945)</w:t>
      </w:r>
      <w:r w:rsidR="00462E8A">
        <w:rPr>
          <w:rFonts w:ascii="Courier New" w:hAnsi="Courier New"/>
          <w:b/>
        </w:rPr>
        <w:t xml:space="preserve"> – Prot. 44 del 08-01-2018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struttura temporanea in legno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Prova2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Santillo Giuseppina (5-11-1979)</w:t>
      </w:r>
      <w:r w:rsidR="00462E8A">
        <w:rPr>
          <w:rFonts w:ascii="Courier New" w:hAnsi="Courier New"/>
          <w:b/>
        </w:rPr>
        <w:t xml:space="preserve"> – Prot. 97 del 11-01-2018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Ristrutturazione e adeguamento sismico fabbricato esistente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Edilizia, esaminato il progetto richiede ad integrazione:
•	una relazione giustificativa della compatibilità della destinazione d’uso con la zona omogenea B1 in cui insiste; 
•	la planimetria di dettaglio con l’ubicazione dell’immobile e le distanze deve essere integrata con l’indicazione della distanza dai confini;
•	copia dell’atto (contratto di affitto/comodato) che da titolo alla presentazione della pratica edilizia;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Procaccini Carmine (8-11-1988)</w:t>
      </w:r>
      <w:r w:rsidR="00462E8A">
        <w:rPr>
          <w:rFonts w:ascii="Courier New" w:hAnsi="Courier New"/>
          <w:b/>
        </w:rPr>
        <w:t xml:space="preserve"> – Prot. 462 del 24-02-2016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Sanatoria Ambientale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Prova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Prot. 1892 del 04-06-2020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Prot. 1543 del 06-05-2020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4E7EBB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5788F-DB8E-420F-838F-FC91C49E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17</cp:revision>
  <cp:lastPrinted>2020-03-09T08:12:00Z</cp:lastPrinted>
  <dcterms:created xsi:type="dcterms:W3CDTF">2020-05-30T15:11:00Z</dcterms:created>
  <dcterms:modified xsi:type="dcterms:W3CDTF">2020-06-02T13:10:00Z</dcterms:modified>
</cp:coreProperties>
</file>