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09-04-2021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09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aprile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878 del 24-02-2021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locale interrato, per la sistemazione esterna e la riqualificazione ambientale di un'area in parte a servizio di un impianto di distribuzione carburanti (parcheggio)  ed in parte di pertinenza di un fabbricato adibito a residenza con annessi locali di pertinenza sito alla Via Provinciale Vitulanese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Cosimo (7-4-1982)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1080 del 05-03-2021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Sanatoria per opere abusive realizzate su un fabbricato rurale riportato nel Comune di Campoli del Monte Taburno in catato al foglio n.6 p.lla 610 - Accerttamento di compatibilità Paesaggistica - Art. 32 L. 47/85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Bagnoli Carmine perché parente del progettista.
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 
Rientra il Geom. Bagnoli Carmine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