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7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03-09-2021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2021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03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settembre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Lanni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Coppolaro</w:t>
      </w:r>
      <w:r w:rsidR="00DB4035" w:rsidRPr="00F15F1C">
        <w:rPr>
          <w:rFonts w:ascii="Courier New" w:hAnsi="Courier New"/>
          <w:b/>
        </w:rPr>
        <w:t xml:space="preserve"> Giovanni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&lt;span class="not-set"&gt;(nessun valore)&lt;/span&gt;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Raviele Antonio (19-6-1963)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3660 del 12-08-2021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in sanatoria per la realizzazione di alcuni vuoti al piano terra, primo, secondo, diversa distribuzione interna e cambio di destinazione d'uso al piano seminterrato. (Art. 31 Testo Unico per l'Edilizia)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favorevole.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Orlacchio Carmine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3795 del 30-08-2021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Variazione di destinazione di uso in sanatoria di una parte del fabbricato sito alla contrada San Nicola Vecchio adibito ad abitazioni riportato in catasto al foglio 3 p.lla 1431/3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favorevole.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Peluso Roberta (20-5-1977)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3810 del 31-08-2021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Realizzazione di un muretto di cinta nel Comune di Campoli M.T.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 con la prescrizione che vengano trasmessi elaborati grafici adeguatamente quotati;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Lorenzo (1-5-1956)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3843 del 03-09-2021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Istanza di autorizzazione paesaggistica con procedimento semplificato a norma dell'art. 146, comma 9, del decreto legislativo 22 gennaio 2004, n. 42, inerente richiesta per l'installazione di un impianto fotovoltaico integrato 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favorevole.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