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7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03-09-2021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03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settembre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Raviele Antonio (19-6-1963)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3660 del 12-08-2021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in sanatoria per la realizzazione di alcuni vuoti al piano terra, primo, secondo, diversa distribuzione interna e cambio di destinazione d'uso al piano seminterrato. (Art. 31 Testo Unico per l'Edilizia)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richiede la seguente integrazione:
per quanto riguarda la sanatoria dei vuoti si richiede che venga prodotto autorizzazione da parte dei proprietari dell’immobile riportato al foglio n. 1 p.lla 431;
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Carmine (18-11-1953)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3794 del 30-08-2021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Variazione di destinazione di uso in sanatoria di una parte del fabbricato sito alla contrada San Nicola Vecchio adibito ad abitazioni riportato in catasto al foglio 3 p.lla 1431/3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favorevole.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