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7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03-09-2021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Raviele Antonio (19-6-1963)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3660 del 12-08-2021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realizzazione di alcuni vuoti al piano terra, primo, secondo, diversa distribuzione interna e cambio di destinazione d'uso al piano seminterrato. (Art. 31 Testo Unico per l'Edilizia)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richiede la seguente integrazione:</w:t>
        <w:br/>
        <w:t>per quanto riguarda la sanatoria dei vuoti si richiede che venga prodotto autorizzazione da parte dei proprietari dell’immobile riportato al foglio n. 1 p.lla 431;</w:t>
        <w:br/>
        <w:t/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(18-11-1953)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3794 del 30-08-2021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di destinazione di uso in sanatoria di una parte del fabbricato sito alla contrada San Nicola Vecchio adibito ad abitazioni riportato in catasto al foglio 3 p.lla 1431/3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