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10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29-10-2021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29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Raviele Antonio (19-6-1963)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3660 del 12-08-2021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realizzazione di alcuni vuoti al piano terra, primo, secondo, diversa distribuzione interna e cambio di destinazione d'uso al piano seminterrato. (Art. 31 Testo Unico per l'Edilizia)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l'integrazione prodotta dal tecnico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4445 del 08-10-2021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parere ambientale di un immobile sito in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parente del committente. La Commissione Edilizia, esaminato il progetto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Lanni Anna (26-6-1976)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4558 del 15-10-2021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gazebo in ferro.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il progetto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4559 del 15-10-2021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diversa distribuzione degli spazi interni, diversa collocazione dei vuoti esterni, diversa realizzazione della copertura e ampliamento balconi.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il progetto esprime parere favorevole. Rientra il Geom. Lanni Nicola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(16-9-1972)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4619 del 19-10-2021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di un fabbricato rurale ad uso abitativo e pertinenze agricole sito alla c/da Grieci. Variante P. di C. 4 del 08/03/2019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