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1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28-01-2022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2022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28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gennaio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Luigia (5-3-1956)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5743 del 29-12-2021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il mutamento di destinazione d'uso di porzione di fabbricato adibito ad abitazione e pertinenze in località "Cantaro"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Iadanza Elvira (28-7-1974)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228 del 14-01-2022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Richiesta Permesso di Costruire per lavori di ristrutturazione edilizia con demolizione e ricostruzione e riqualificazione sismica ed energetica di un fabbricato residenziale ubicato alla c/da Pantanelle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 con le seguenti condizioni:
produzione di planimetria dettagliata anche su base catastale con l'indicazione delle distanze dai confini e dalle strade estesa ad un raggio di azione di mt 50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Nicola (18-9-1974)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467 del 28-01-2022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Recupero abitativo di sottotetto esistente - L.R. 15/2000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contrario in quanto: I relativi locali derivati non rispettato l'altezza media pari a mt 2,20 come riportato nell'art. 3 comma "c" della L. R. n.15/2000.
Chiarire l'aspetto relativo alla realizzazione di aperture aggiuntive, in quanto, gli stessi interventi rientrano all'interno dell'applicazione del D.P.R. 31/2017 ed esclusi dall'autorizzazione paesaggistica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