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28-01-2022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gennaio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Luigia (5-3-1956)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5743 del 29-12-2021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in località "Cantaro"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Iadanza Elvira (28-7-1974)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228 del 14-01-2022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Permesso di Costruire per lavori di ristrutturazione edilizia con demolizione e ricostruzione e riqualificazione sismica ed energetica di un fabbricato residenziale ubicato alla c/da Pantanelle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 con le seguenti condizioni:
produzione di planimetria dettagliata anche su base catastale con l'indicazione delle distanze dai confini e dalle strade estesa ad un raggio di azione di mt 50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Nicola (18-9-1974)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467 del 28-01-2022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Recupero abitativo di sottotetto esistente - L.R. 15/2000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contrario in quanto: I relativi locali derivati non rispettato l'altezza media pari a mt 2,20 come riportato nell'art. 3 comma "c" della L. R. n.15/2000.
Chiarire l'aspetto relativo alla realizzazione di aperture aggiuntive, in quanto, gli stessi interventi rientrano all'interno dell'applicazione del D.P.R. 31/2017 ed esclusi dall'autorizzazione paesaggistica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