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1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20-03-2023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2023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20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marzo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${titolo#1}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${titolo#2}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${titolo#3}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${titolo#4}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${titolo#5}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Nicola (18-9-1974)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614 del 07-02-2023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Recupero abitativo di sottotetto esistente - L.R. 15/2000 - RIESAME PRATICA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Caporaso Carmine (21-11-1972)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778 del 14-02-2023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Ripristino della destinazione d'uso originaria (Officina meccanica) delle unità immobiliari senza opere, così come risulta dal titolo edilizio originario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