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06-03-2020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2020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06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marzo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Parrella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Antonietta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Arch. </w:t>
      </w:r>
      <w:r w:rsidR="00B56C49" w:rsidRPr="00F15F1C">
        <w:rPr>
          <w:rFonts w:ascii="Courier New" w:hAnsi="Courier New"/>
          <w:b/>
        </w:rPr>
        <w:t>Gisoldi</w:t>
      </w:r>
      <w:r w:rsidR="00DB4035" w:rsidRPr="00F15F1C">
        <w:rPr>
          <w:rFonts w:ascii="Courier New" w:hAnsi="Courier New"/>
          <w:b/>
        </w:rPr>
        <w:t xml:space="preserve"> Fernando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18:10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Procaccini Carmine (8-11-1988)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821 del 29-03-2017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i lavori eseguiti in somma urgenza per la messa in sicurezza di una scarpata, interessata da un grave fenomeno franoso a ridosso di un fabbricato adibito ad abitazione, sito alla contrada Velarda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Prova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Iadanza Nicola (15-1-1945)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44 del 08-01-2018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struttura temporanea in legno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Prova2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Santillo Giuseppina (5-11-1979)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97 del 11-01-2018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ristrutturazione con adeguamento sismico del fabbricato rurale e ampliamento con depositi a piano terra e abitazione a piano primo alla Via Liberia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richiede ad integrazione:</w:t>
        <w:br/>
        <w:t>•	una relazione giustificativa della compatibilità della destinazione d’uso con la zona omogenea B1 in cui insiste; </w:t>
        <w:br/>
        <w:t>•	la planimetria di dettaglio con l’ubicazione dell’immobile e le distanze deve essere integrata con l’indicazione della distanza dai confini;</w:t>
        <w:br/>
        <w:t>•	copia dell’atto (contratto di affitto/comodato) che da titolo alla presentazione della pratica edilizia;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