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DIAGNÓSTICO INTEGRAL DE SEGURIDAD HUMANA</w:t>
        <w:br/>
        <w:t>CARTAGENA DE INDIAS 2026</w:t>
      </w:r>
    </w:p>
    <w:p>
      <w:pPr>
        <w:jc w:val="center"/>
      </w:pPr>
      <w:r>
        <w:rPr>
          <w:color w:val="00A6A0"/>
          <w:sz w:val="26"/>
        </w:rPr>
        <w:t>Apuestas Políticas, Planes de Acción y Resultados Observados (2012–2027)</w:t>
        <w:br/>
        <w:t>Corte de Integración Multifuente: 27 de octubre de 2026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Plataforma: </w:t>
      </w:r>
      <w:r>
        <w:t>POLIS — Sistema Distrital de Formulación y Seguimiento de Política Pública</w:t>
        <w:br/>
      </w:r>
      <w:r>
        <w:rPr>
          <w:b/>
        </w:rPr>
        <w:t xml:space="preserve">Ámbito Territorial: </w:t>
      </w:r>
      <w:r>
        <w:t>Cartagena de Indias (DIVIPOLA 13001) · 15 Unidades Comuneras de Gobierno</w:t>
        <w:br/>
      </w:r>
      <w:r>
        <w:rPr>
          <w:b/>
        </w:rPr>
        <w:t xml:space="preserve">Bases Integradas: </w:t>
      </w:r>
      <w:r>
        <w:t>DANE, Instituto Nacional de Medicina Legal, Policía Nacional/MinDefensa, TerriData DNP, Unidad para las Víctimas (RUV/IRV), IDEAM (SISAIRE), INS (SIVICAP), Triada PDD ↔ PA ↔ BPIM (8 planes, 4.637 metas y 27.592 actividades).</w:t>
        <w:br/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presente documento consolida el diagnóstico multifuente de seguridad humana en Cartagena de Indias al corte del 27 de octubre de 2026. A partir del procesamiento riguroso de 28 conjuntos de datos oficiales y de la triada estratégica distrital (Planes de Desarrollo, Planes de Acción y Banco de Proyectos de Inversión), este informe evalúa si las prioridades de gobierno se tradujeron en intervenciones efectivas sobre los factores de riesgo territorial.</w:t>
      </w:r>
    </w:p>
    <w:p>
      <w:r>
        <w:t>Para garantizar la validez técnica y jurídica de los hallazgos, el análisis separa tres niveles analíticos: (1) la apuesta gubernamental (metas PDD/PDL), (2) la respuesta institucional (actividades de planes de acción y pagos BPIN), y (3) los resultados poblacionales observados (tasas, conteos y percepciones). Bajo el marco de la ONU y el mandato de la Sentencia C-150 de 2015, se examinan las siete dimensiones de la seguridad humana sin confundir correlación temporal con causalidad.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_composi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Composición y evolución de la agenda de seguridad humana en los planes de acción (2018–2025).</w:t>
      </w:r>
    </w:p>
    <w:p>
      <w:pPr>
        <w:pStyle w:val="Heading1"/>
      </w:pPr>
      <w:r>
        <w:t>2. Banco de Fuentes Oficiales Procesadas</w:t>
      </w:r>
    </w:p>
    <w:p>
      <w:r>
        <w:t>El estudio incorpora un banco reproducible de datos oficiales normalizados con trazabilidad de huella digital SHA-256: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B2545"/>
              </w:rPr>
              <w:t>Entidad Custodia</w:t>
            </w:r>
          </w:p>
        </w:tc>
        <w:tc>
          <w:tcPr>
            <w:tcW w:type="dxa" w:w="2340"/>
          </w:tcPr>
          <w:p>
            <w:r>
              <w:rPr>
                <w:b/>
                <w:color w:val="0B2545"/>
              </w:rPr>
              <w:t>Conjuntos / Variables</w:t>
            </w:r>
          </w:p>
        </w:tc>
        <w:tc>
          <w:tcPr>
            <w:tcW w:type="dxa" w:w="2340"/>
          </w:tcPr>
          <w:p>
            <w:r>
              <w:rPr>
                <w:b/>
                <w:color w:val="0B2545"/>
              </w:rPr>
              <w:t>Periodo</w:t>
            </w:r>
          </w:p>
        </w:tc>
        <w:tc>
          <w:tcPr>
            <w:tcW w:type="dxa" w:w="2340"/>
          </w:tcPr>
          <w:p>
            <w:r>
              <w:rPr>
                <w:b/>
                <w:color w:val="0B2545"/>
              </w:rPr>
              <w:t>Criterio de Rigor Metodológico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Medicina Legal (Forensis)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Homicidios, violencia intrafamiliar, interpersonal, presuntos delitos sexuales, suicidios y accidentes viales.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2015–2024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Hechos corroborados forensemente. No promediar con denuncias policiales.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Policía Nacional / MinDefensa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Homicidios, lesiones, amenazas, violencia intrafamiliar y hurtos (comercio, residencias, motocicletas).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2010–2026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Registra denuncias ciudadanas y capturas; universo complementario.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DANE (GEIH, ECSC, SAE)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Pobreza monetaria, desocupación, informalidad, percepción de inseguridad y FIES experimental.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2018–2025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Estimaciones muestrales representativas de cabecera; intervalos de confianza explícitos.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DNP / TerriData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Incidencia dengue, tasas de violencia, coberturas y finanzas públicas territoriales.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2018–2024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Compilador estandarizado nacional para indicadores sectoriales.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Unidad para las Víctimas (RUV / IRV)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Hechos victimizantes, índice de riesgo de victimización e indemnizaciones radicadas.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2012–2026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Mide hechos del conflicto armado y demanda de reparación administrativa.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IDEAM (SISAIRE) e INS (SIVICAP)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Calidad del aire por estación meteorológica e índice de calidad del agua potable (IRCA).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2014–2025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Monitoreo físico-químico ambiental puntual.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Triada PDD ↔ PA ↔ BPIM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8 Planes (5 PDD + 3 PDL), 4.637 metas, 27.592 actividades y proyectos BPIN.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2012–2026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Auditoría de correspondencia entre metas formuladas, presupuesto pagado y productos.</w:t>
            </w:r>
          </w:p>
        </w:tc>
      </w:tr>
    </w:tbl>
    <w:p>
      <w:r>
        <w:br w:type="page"/>
      </w:r>
    </w:p>
    <w:p>
      <w:pPr>
        <w:pStyle w:val="Heading1"/>
      </w:pPr>
      <w:r>
        <w:t>3. Diagnóstico por Dimensiones de Seguridad Humana</w:t>
      </w:r>
    </w:p>
    <w:p>
      <w:pPr>
        <w:pStyle w:val="Heading2"/>
      </w:pPr>
      <w:r>
        <w:t>3.1. Seguridad Personal (Violencia Letal, Hurtos y Protección de la Vida)</w:t>
      </w:r>
    </w:p>
    <w:p>
      <w:r>
        <w:t>La seguridad personal concentra metas dirigidas a la preservación de la vida, convivencia ciudadana y reducción de hechos delictivos. En Medicina Legal, la tasa de homicidios registró una reducción moderada al pasar de 427 casos en 2023 a 411 en 2024 (tasa de 38,79 por 100.000 hab.), manteniéndose aún por encima de los niveles de 2019. Por tipología de hurto, se evidencia un comportamiento disímil: disminuyó el hurto a residencias (de 618 en 2023 a 481 en 2024), mientras que el hurto a motocicletas presentó un incremento sostenido (503 en 2023 a 665 en 2024). La extorsión muestra una tendencia al alza en los registros policiales. La respuesta institucional requiere articular tecnología de vigilancia con presencia social y control barrial territorializado.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293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eje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Visualización: Actividad institucional, inversión BPIN y resultados de 3.1. Seguridad Personal.</w:t>
      </w:r>
    </w:p>
    <w:p>
      <w:pPr>
        <w:pStyle w:val="Heading2"/>
      </w:pPr>
      <w:r>
        <w:t>3.2. Seguridad Comunitaria (Tejido Social, Familia y Equidad)</w:t>
      </w:r>
    </w:p>
    <w:p>
      <w:r>
        <w:t>Este eje representa la mayor apuesta de metas del PDD 2024–2027 (53,9% de metas clasificadas). En el plano de violencia intrafamiliar, el conjunto médico legal reporta 323 casos en 2024 frente a 394 en 2023, mientras que los registros de Policía alcanzan 3.412 expedientes. Esta diferencia refleja que la Policía capta llamados de auxilio inmediato y denuncias directas, mientras Medicina Legal examina casos con lesiones dictaminadas. Los exámenes por presuntos delitos sexuales bajaron de 500 a 430 en el mismo periodo. Es imperativo consolidar la ruta de atención a mujeres y jóvenes en las localidades 2 y 3.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293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ej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Visualización: Actividad institucional, inversión BPIN y resultados de 3.2. Seguridad Comunitaria.</w:t>
      </w:r>
    </w:p>
    <w:p>
      <w:pPr>
        <w:pStyle w:val="Heading2"/>
      </w:pPr>
      <w:r>
        <w:t>3.3. Seguridad Económica (Ingresos, Pobreza y Empleo)</w:t>
      </w:r>
    </w:p>
    <w:p>
      <w:r>
        <w:t>Presenta el crecimiento más consistente en la composición documental de los planes de acción (+1,85 puntos porcentuales anuales). La pobreza monetaria oficial disminuyó del 42,8% en 2023 al 41,1% en 2024 y 34,6% en 2025. No obstante, el mercado laboral presenta tensiones: la desocupación del trimestre móvil octubre-diciembre subió de 10,94% en 2024 a 14,14% en 2025, con una informalidad que bordea el 50,2%. La diversificación productiva y la inserción laboral juvenil resultan prioritarias.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293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ej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Visualización: Actividad institucional, inversión BPIN y resultados de 3.3. Seguridad Económica.</w:t>
      </w:r>
    </w:p>
    <w:p>
      <w:pPr>
        <w:pStyle w:val="Heading2"/>
      </w:pPr>
      <w:r>
        <w:t>3.4. Seguridad Alimentaria (Nutrición y Acceso a Alimentos)</w:t>
      </w:r>
    </w:p>
    <w:p>
      <w:r>
        <w:t>La estimación del modelo SAE para inseguridad alimentaria moderada o grave (FIES) se situó en 28,10% en 2024 (IC 95%: 23,42–32,78), frente al 22,15% en 2022. La amplitud de los intervalos estadísticos exige fortalecer los sistemas de información municipal sobre desnutrición infantil y cobertura del Programa de Alimentación Escolar (PAE), integrando redes de abastecimiento local.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293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ej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Visualización: Actividad institucional, inversión BPIN y resultados de 3.4. Seguridad Alimentaria.</w:t>
      </w:r>
    </w:p>
    <w:p>
      <w:pPr>
        <w:pStyle w:val="Heading2"/>
      </w:pPr>
      <w:r>
        <w:t>3.5. Seguridad en Salud (Salud Mental, Epidemiología y Atención)</w:t>
      </w:r>
    </w:p>
    <w:p>
      <w:r>
        <w:t>En salud mental, los suicidios certificados por Medicina Legal pasaron de 55 en 2023 a 33 en 2024. En contraste, la incidencia de dengue compilada en TerriData evidenció un repunte epidémico de 242,31 a 713,24 casos por 100.000 habitantes en riesgo. Esto demuestra que los desafíos sanitarios de la ciudad responden tanto a condiciones clínicas y de bienestar psicológico como a saneamiento ambiental.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293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eje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Visualización: Actividad institucional, inversión BPIN y resultados de 3.5. Seguridad en Salud.</w:t>
      </w:r>
    </w:p>
    <w:p>
      <w:pPr>
        <w:pStyle w:val="Heading2"/>
      </w:pPr>
      <w:r>
        <w:t>3.6. Seguridad Ambiental (Riesgo Hídrico, Aire y Cambio Climático)</w:t>
      </w:r>
    </w:p>
    <w:p>
      <w:r>
        <w:t>Las estaciones del SISAIRE documentan la concentración de material particulado con impacto en zonas portuarias e industriales. En calidad del agua potable, el índice IRCA total se mantuvo en rangos seguros (0,3% en 2023 y 2,8% en 2024 en cabecera urbana). Sin embargo, las áreas rurales e insulares continúan demandando inversiones en redes de acueducto y obras de drenaje pluvial para mitigación de inundaciones recurrentes.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293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eje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Visualización: Actividad institucional, inversión BPIN y resultados de 3.6. Seguridad Ambiental.</w:t>
      </w:r>
    </w:p>
    <w:p>
      <w:pPr>
        <w:pStyle w:val="Heading2"/>
      </w:pPr>
      <w:r>
        <w:t>3.7. Seguridad Política e Institucional (Participación, Rendición de Cuentas y Víctimas)</w:t>
      </w:r>
    </w:p>
    <w:p>
      <w:r>
        <w:t>El RUV contabiliza 522 hechos y series de víctimas históricas en la ciudad con un índice de riesgo de victimización (IRV) clasificado en 'Medio Bajo'. El reto institucional se centra en el fortalecimiento del canal ciudadano y la devolución motivada: garantizar que las propuestas y actas de las 37 mesas distritales queden blindadas con trazabilidad pública inalterable.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2934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eje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Visualización: Actividad institucional, inversión BPIN y resultados de 3.7. Seguridad Política e Institucional.</w:t>
      </w:r>
    </w:p>
    <w:p>
      <w:r>
        <w:br w:type="page"/>
      </w:r>
    </w:p>
    <w:p>
      <w:pPr>
        <w:pStyle w:val="Heading1"/>
      </w:pPr>
      <w:r>
        <w:t>4. Evaluación de la Triada de Gestión (PDD ↔ PA ↔ BPIM)</w:t>
      </w:r>
    </w:p>
    <w:p>
      <w:r>
        <w:t>El análisis econométrico y de eficiencia relativa (Data Envelopment Analysis - DEA) aplicado a las metas distritales revela que la eficiencia en la ejecución presupuestal varía sustancialmente según la dependencia y la tipología de intervención. La integración del catálogo homologado del DNP permite verificar la consistencia entre los verbos rectores de las metas, los productos de marco lógico entregados y la tasa de impacto observada.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7696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5_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Mapa de calor de intensidad de metas y actividades en la serie temporal 2018–2026.</w:t>
      </w:r>
    </w:p>
    <w:p>
      <w:pPr>
        <w:pStyle w:val="Heading1"/>
      </w:pPr>
      <w:r>
        <w:t>5. Cautelas Metodológicas y Próximos Pasos</w:t>
      </w:r>
    </w:p>
    <w:p>
      <w:r>
        <w:t>1. No inferir causalidad exclusiva: Las disminuciones en delitos o mejoras en pobreza obedecen a factores multivariados (dinámica macroeconómica nacional, estacionalidad, operativos interagenciales). La evaluación de impacto requiere grupos de control.</w:t>
        <w:br/>
        <w:t>2. Precaución geográfica: Dado que los registros de hurto y delitos de la fuente compartida presentan agregación zonal o municipal, no se realizan extrapolaciones a nivel de barrio sin contar con microdatos georreferenciados punto a punto.</w:t>
        <w:br/>
        <w:t>3. Transición a Fase 2 (Formulación MGA): El presente diagnóstico constituye el soporte empírico oficial para la priorización de alternativas de solución y formulación del marco lógico participativo en la plataforma POLIS.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40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