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a:graphicData uri="http://schemas.openxmlformats.org/drawingml/2006/picture">
                <pic:pic>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00EE3B91" w:rsidRPr="00E03B24">
          <w:rPr>
            <w:rStyle w:val="Lienhypertexte"/>
            <w:sz w:val="20"/>
            <w:szCs w:val="20"/>
          </w:rPr>
          <w:t>guillaume@carment.fr</w:t>
        </w:r>
      </w:hyperlink>
      <w:r>
        <w:rPr>
          <w:color w:val="475569"/>
          <w:sz w:val="20"/>
          <w:szCs w:val="20"/>
        </w:rPr>
        <w:t xml:space="preserve"> | 🔗 </w:t>
      </w:r>
      <w:hyperlink r:id="rId8" w:history="1">
        <w:r w:rsidR="00EE3B91" w:rsidRPr="00E03B24">
          <w:rPr>
            <w:rStyle w:val="Lienhypertexte"/>
            <w:sz w:val="20"/>
            <w:szCs w:val="20"/>
          </w:rPr>
          <w:t>linkedin.com/in/</w:t>
        </w:r>
        <w:proofErr w:type="spellStart"/>
        <w:r w:rsidR="00EE3B91" w:rsidRPr="00E03B24">
          <w:rPr>
            <w:rStyle w:val="Lienhypertexte"/>
            <w:sz w:val="20"/>
            <w:szCs w:val="20"/>
          </w:rPr>
          <w:t>guillaumecarment</w:t>
        </w:r>
        <w:proofErr w:type="spellEnd"/>
        <w:r w:rsidR="00EE3B91"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6645A6FC" w14:textId="0ED3F29F" w:rsidR="00EE3B91" w:rsidRDefault="00000000" w:rsidP="005C7D9F">
      <w:pPr>
        <w:pStyle w:val="Titre2"/>
        <w:spacing w:before="0" w:after="300"/>
        <w:rPr>
          <w:color w:val="1E293B"/>
        </w:rPr>
      </w:pPr>
      <w:r>
        <w:rPr>
          <w:color w:val="1E293B"/>
        </w:rPr>
        <w:t>Le Projet de Reprise</w: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top w:w="57" w:type="dxa"/>
          <w:bottom w:w="57" w:type="dxa"/>
        </w:tblCellMar>
        <w:tblLook w:val="0600" w:firstRow="0" w:lastRow="0" w:firstColumn="0" w:lastColumn="0" w:noHBand="1" w:noVBand="1"/>
      </w:tblPr>
      <w:tblGrid>
        <w:gridCol w:w="2340"/>
        <w:gridCol w:w="8425"/>
      </w:tblGrid>
      <w:tr w:rsidR="00EE3B91" w14:paraId="52979FAB" w14:textId="77777777" w:rsidTr="00D212BD">
        <w:trPr>
          <w:trHeight w:val="170"/>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rsidP="00D212BD">
            <w:pPr>
              <w:pStyle w:val="Sansinterligne"/>
            </w:pPr>
            <w: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D212BD">
            <w:pPr>
              <w:pStyle w:val="Sansinterligne"/>
            </w:pPr>
            <w:r>
              <w:t>Détails &amp; Objectifs</w:t>
            </w:r>
          </w:p>
        </w:tc>
      </w:tr>
      <w:tr w:rsidR="00EE3B91" w14:paraId="14D25BF7"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Mon apport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2F31D187" w:rsidR="00EE3B91" w:rsidRDefault="00000000">
            <w:pPr>
              <w:pBdr>
                <w:top w:val="nil"/>
                <w:left w:val="nil"/>
                <w:bottom w:val="nil"/>
                <w:right w:val="nil"/>
                <w:between w:val="nil"/>
              </w:pBdr>
              <w:rPr>
                <w:sz w:val="20"/>
                <w:szCs w:val="20"/>
              </w:rPr>
            </w:pPr>
            <w:r>
              <w:rPr>
                <w:sz w:val="20"/>
                <w:szCs w:val="20"/>
              </w:rPr>
              <w:t xml:space="preserve">Ce que j’apporte. Je cherche une PME de métier, pas une société de conseil : industrie, services B2B, distribution ou bâtiment, savoir-faire en place, outils et organisation à faire progresser. J’entre dans le métier des équipes avant d’agir : processus, outils, formation, accompagnement, après un état des lieux. Clients et salariés d’abord. Vingt ans : Renault Trucks, EDF, Veolia, Frenehard &amp; Michaud, mairies, départements, régions. Agence lyonnaise d’apini (jusqu’à 50 personnes, P&amp;L), cession à Extia ; avant, CGI Business Consulting et Shift Consulting. Ouverture — métiers que je pratique, sans exclusivité :</w:t>
            </w:r>
            <w:r w:rsidR="005C7D9F">
              <w:rPr>
                <w:sz w:val="20"/>
                <w:szCs w:val="20"/>
              </w:rPr>
              <w:t/>
            </w:r>
            <w:r>
              <w:rPr>
                <w:sz w:val="20"/>
                <w:szCs w:val="20"/>
              </w:rPr>
              <w:t xml:space="preserve"/>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pratique régulière, culture du concret et du geste.</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usage et veille des solutions Smart Home (B2C/B2B).</w:t>
            </w:r>
          </w:p>
          <w:p w14:paraId="58495349" w14:textId="77777777"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w:t>
            </w:r>
            <w:r>
              <w:rPr>
                <w:sz w:val="20"/>
                <w:szCs w:val="20"/>
              </w:rPr>
              <w:t xml:space="preserve"> pratique (voile, vélo, wingfoil) et regard d’utilisateur.</w:t>
            </w:r>
          </w:p>
          <w:p w14:paraId="100CF5DC" w14:textId="1D57F6E8" w:rsidR="005C7D9F" w:rsidRDefault="005C7D9F" w:rsidP="005C7D9F">
            <w:pPr>
              <w:pBdr>
                <w:top w:val="nil"/>
                <w:left w:val="nil"/>
                <w:bottom w:val="nil"/>
                <w:right w:val="nil"/>
                <w:between w:val="nil"/>
              </w:pBdr>
              <w:rPr>
                <w:sz w:val="20"/>
                <w:szCs w:val="20"/>
              </w:rPr>
            </w:pPr>
            <w:r>
              <w:rPr>
                <w:sz w:val="20"/>
                <w:szCs w:val="20"/>
              </w:rPr>
              <w:t xml:space="preserve">• </w:t>
            </w:r>
            <w:r w:rsidRPr="0070759C">
              <w:rPr>
                <w:b/>
                <w:bCs/>
                <w:color w:val="EA580C"/>
                <w:sz w:val="20"/>
                <w:szCs w:val="20"/>
              </w:rPr>
              <w:t>L</w:t>
            </w:r>
            <w:r>
              <w:rPr>
                <w:b/>
                <w:bCs/>
                <w:color w:val="EA580C"/>
                <w:sz w:val="20"/>
                <w:szCs w:val="20"/>
              </w:rPr>
              <w:t>’industrie</w:t>
            </w:r>
            <w:r>
              <w:rPr>
                <w:b/>
                <w:bCs/>
                <w:sz w:val="20"/>
                <w:szCs w:val="20"/>
              </w:rPr>
              <w:t xml:space="preserve"> </w:t>
            </w:r>
            <w:r w:rsidRPr="005C7D9F">
              <w:rPr>
                <w:sz w:val="20"/>
                <w:szCs w:val="20"/>
              </w:rPr>
              <w:t>:</w:t>
            </w:r>
            <w:r>
              <w:rPr>
                <w:sz w:val="20"/>
                <w:szCs w:val="20"/>
              </w:rPr>
              <w:t xml:space="preserve"> </w:t>
            </w:r>
            <w:r w:rsidRPr="005C7D9F">
              <w:rPr>
                <w:sz w:val="20"/>
                <w:szCs w:val="20"/>
              </w:rPr>
              <w:t xml:space="preserve"> optimisation et innovation des parcours de production.</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4281CBE"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In bonis, à développer | EBE entre 250 K€ et 800 K€ | entre 10 et 50 salariés.</w:t>
            </w:r>
            <w:r w:rsidR="00D212BD">
              <w:rPr>
                <w:sz w:val="20"/>
                <w:szCs w:val="20"/>
              </w:rPr>
              <w:t/>
            </w:r>
            <w:r>
              <w:rPr>
                <w:sz w:val="20"/>
                <w:szCs w:val="20"/>
              </w:rPr>
              <w:t xml:space="preserve"/>
            </w:r>
            <w:r w:rsidR="00D212BD">
              <w:rPr>
                <w:sz w:val="20"/>
                <w:szCs w:val="20"/>
              </w:rPr>
              <w:t/>
            </w:r>
            <w:r>
              <w:rPr>
                <w:sz w:val="20"/>
                <w:szCs w:val="20"/>
              </w:rPr>
              <w:t xml:space="preserve"/>
            </w:r>
            <w:r w:rsidR="00D212BD">
              <w:rPr>
                <w:sz w:val="20"/>
                <w:szCs w:val="20"/>
              </w:rPr>
              <w:t/>
            </w:r>
            <w:r>
              <w:rPr>
                <w:sz w:val="20"/>
                <w:szCs w:val="20"/>
              </w:rPr>
              <w:t xml:space="preserve"/>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Plusieurs années d’expérience, récurrence contractuelle sur une partie de l’activité</w:t>
            </w:r>
          </w:p>
        </w:tc>
      </w:tr>
      <w:tr w:rsidR="00EE3B91" w14:paraId="7E541E7D" w14:textId="77777777" w:rsidTr="00D212BD">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2C037C73" w14:textId="77777777" w:rsidR="00D212BD" w:rsidRPr="00D212BD" w:rsidRDefault="00D212BD" w:rsidP="00D212BD">
            <w:pPr>
              <w:pBdr>
                <w:top w:val="nil"/>
                <w:left w:val="nil"/>
                <w:bottom w:val="nil"/>
                <w:right w:val="nil"/>
                <w:between w:val="nil"/>
              </w:pBdr>
              <w:rPr>
                <w:b/>
                <w:bCs/>
                <w:sz w:val="20"/>
                <w:szCs w:val="20"/>
              </w:rPr>
            </w:pPr>
            <w:r w:rsidRPr="00D212BD">
              <w:rPr>
                <w:b/>
                <w:bCs/>
                <w:sz w:val="20"/>
                <w:szCs w:val="20"/>
              </w:rPr>
              <w:t>Valorisation cible : entre 1 M€ et 4 M€</w:t>
            </w:r>
          </w:p>
          <w:p w14:paraId="125F7B91" w14:textId="5EE36D16" w:rsidR="00E03B24" w:rsidRDefault="00000000" w:rsidP="00D212BD">
            <w:pPr>
              <w:pBdr>
                <w:top w:val="nil"/>
                <w:left w:val="nil"/>
                <w:bottom w:val="nil"/>
                <w:right w:val="nil"/>
                <w:between w:val="nil"/>
              </w:pBdr>
              <w:rPr>
                <w:sz w:val="20"/>
                <w:szCs w:val="20"/>
              </w:rPr>
            </w:pPr>
            <w:r>
              <w:rPr>
                <w:b/>
                <w:bCs/>
                <w:sz w:val="20"/>
                <w:szCs w:val="20"/>
              </w:rPr>
              <w:t>Apport personnel :</w:t>
            </w:r>
            <w:r>
              <w:rPr>
                <w:sz w:val="20"/>
                <w:szCs w:val="20"/>
              </w:rPr>
              <w:t xml:space="preserve"> entre 300 K€ et 500 K€ (fonds propres)</w:t>
            </w:r>
            <w:r w:rsidR="00D212BD">
              <w:rPr>
                <w:sz w:val="20"/>
                <w:szCs w:val="20"/>
              </w:rPr>
              <w:t/>
            </w:r>
            <w:r>
              <w:rPr>
                <w:sz w:val="20"/>
                <w:szCs w:val="20"/>
              </w:rPr>
              <w:t xml:space="preserve"/>
            </w:r>
          </w:p>
          <w:p w14:paraId="2498145B" w14:textId="4CFCF53E"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 Prêt d’honneur, Réseau Business Angels</w:t>
            </w:r>
            <w:r w:rsidR="00D212BD">
              <w:rPr>
                <w:sz w:val="20"/>
                <w:szCs w:val="20"/>
              </w:rPr>
              <w:t>, Co-investisseur</w:t>
            </w:r>
          </w:p>
          <w:p w14:paraId="1A385651" w14:textId="439B432A"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w:t>
            </w:r>
            <w:r w:rsidR="00D212BD">
              <w:rPr>
                <w:sz w:val="20"/>
                <w:szCs w:val="20"/>
              </w:rPr>
              <w:t xml:space="preserve">LBO / LBI, structuré autour des fonds propres, des prêts d’honneur et de l’emprunt bancaire senior.</w:t>
            </w:r>
            <w:r>
              <w:rPr>
                <w:sz w:val="20"/>
                <w:szCs w:val="20"/>
              </w:rPr>
              <w:t/>
            </w:r>
          </w:p>
        </w:tc>
      </w:tr>
      <w:tr w:rsidR="00EE3B91" w14:paraId="7CBDB32B" w14:textId="77777777" w:rsidTr="00D212BD">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15CD06DF" w:rsidR="00EE3B91" w:rsidRDefault="00000000">
            <w:pPr>
              <w:pBdr>
                <w:top w:val="nil"/>
                <w:left w:val="nil"/>
                <w:bottom w:val="nil"/>
                <w:right w:val="nil"/>
                <w:between w:val="nil"/>
              </w:pBdr>
              <w:rPr>
                <w:sz w:val="20"/>
                <w:szCs w:val="20"/>
              </w:rPr>
            </w:pPr>
            <w:r>
              <w:rPr>
                <w:sz w:val="20"/>
                <w:szCs w:val="20"/>
              </w:rPr>
              <w:t xml:space="preserve">Prise de participation majoritaire ou totale | Accompagnement court </w:t>
            </w:r>
            <w:r w:rsidR="00D212BD">
              <w:rPr>
                <w:sz w:val="20"/>
                <w:szCs w:val="20"/>
              </w:rPr>
              <w:t xml:space="preserve">(3 à 6 mois) </w:t>
            </w:r>
            <w:r>
              <w:rPr>
                <w:sz w:val="20"/>
                <w:szCs w:val="20"/>
              </w:rPr>
              <w:t>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de conseils : cabinet d’expertise comptable et d’avocat, réseau CRA / CCRE. Une équipe de repreneurs déjà identifiée.</w:t>
            </w:r>
            <w:r>
              <w:rPr>
                <w:sz w:val="20"/>
                <w:szCs w:val="20"/>
              </w:rPr>
              <w:t xml:space="preserve"/>
            </w:r>
            <w:r w:rsidR="00E03B24">
              <w:rPr>
                <w:sz w:val="20"/>
                <w:szCs w:val="20"/>
              </w:rPr>
              <w:t/>
            </w:r>
            <w:r>
              <w:rPr>
                <w:sz w:val="20"/>
                <w:szCs w:val="20"/>
              </w:rPr>
              <w:t/>
            </w:r>
            <w:r w:rsidR="00E03B24">
              <w:rPr>
                <w:sz w:val="20"/>
                <w:szCs w:val="20"/>
              </w:rPr>
              <w:t/>
            </w:r>
            <w:r>
              <w:rPr>
                <w:sz w:val="20"/>
                <w:szCs w:val="20"/>
              </w:rPr>
              <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CCRE — Club des Créateurs et Repreneurs d’Entreprise de l’EM Lyon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 xml:space="preserve">2014 - </w:t>
      </w:r>
      <w:proofErr w:type="gramStart"/>
      <w:r w:rsidRPr="0070759C">
        <w:rPr>
          <w:color w:val="1E293B"/>
          <w:lang w:val="en-US"/>
        </w:rPr>
        <w:t>2017 :</w:t>
      </w:r>
      <w:proofErr w:type="gramEnd"/>
      <w:r w:rsidRPr="0070759C">
        <w:rPr>
          <w:color w:val="1E293B"/>
          <w:lang w:val="en-US"/>
        </w:rPr>
        <w:t xml:space="preserve">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D212BD">
      <w:pgSz w:w="12240" w:h="15840"/>
      <w:pgMar w:top="1134" w:right="1077" w:bottom="1134" w:left="1077"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32E6DE9-2FEB-47DD-8D34-457499386B1D}"/>
  </w:font>
  <w:font w:name="Calibri">
    <w:panose1 w:val="020F0502020204030204"/>
    <w:charset w:val="00"/>
    <w:family w:val="swiss"/>
    <w:pitch w:val="variable"/>
    <w:sig w:usb0="E4002EFF" w:usb1="C200ACFF" w:usb2="00000009" w:usb3="00000000" w:csb0="000001FF" w:csb1="00000000"/>
    <w:embedRegular r:id="rId2" w:fontKey="{DAB8CC3E-95C0-4804-B4A9-819576C66C70}"/>
  </w:font>
  <w:font w:name="Cambria">
    <w:panose1 w:val="02040503050406030204"/>
    <w:charset w:val="00"/>
    <w:family w:val="roman"/>
    <w:pitch w:val="variable"/>
    <w:sig w:usb0="E00006FF" w:usb1="420024FF" w:usb2="02000000" w:usb3="00000000" w:csb0="0000019F" w:csb1="00000000"/>
    <w:embedRegular r:id="rId3" w:fontKey="{8525F5B9-7224-49EC-8B1E-BBE490C105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7FF35CD"/>
    <w:multiLevelType w:val="hybridMultilevel"/>
    <w:tmpl w:val="6B0AF5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2"/>
  </w:num>
  <w:num w:numId="2" w16cid:durableId="632640892">
    <w:abstractNumId w:val="3"/>
  </w:num>
  <w:num w:numId="3" w16cid:durableId="1828132759">
    <w:abstractNumId w:val="0"/>
  </w:num>
  <w:num w:numId="4" w16cid:durableId="2122724979">
    <w:abstractNumId w:val="4"/>
  </w:num>
  <w:num w:numId="5" w16cid:durableId="685407600">
    <w:abstractNumId w:val="5"/>
  </w:num>
  <w:num w:numId="6" w16cid:durableId="188980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5C7D9F"/>
    <w:rsid w:val="006D1B28"/>
    <w:rsid w:val="0070759C"/>
    <w:rsid w:val="00786A7F"/>
    <w:rsid w:val="00AC5142"/>
    <w:rsid w:val="00D212BD"/>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 w:type="paragraph" w:styleId="Paragraphedeliste">
    <w:name w:val="List Paragraph"/>
    <w:basedOn w:val="Normal"/>
    <w:uiPriority w:val="34"/>
    <w:qFormat/>
    <w:rsid w:val="00D212BD"/>
    <w:pPr>
      <w:ind w:left="720"/>
      <w:contextualSpacing/>
    </w:pPr>
  </w:style>
  <w:style w:type="paragraph" w:styleId="Sansinterligne">
    <w:name w:val="No Spacing"/>
    <w:uiPriority w:val="1"/>
    <w:qFormat/>
    <w:rsid w:val="00D212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3945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4</cp:revision>
  <dcterms:created xsi:type="dcterms:W3CDTF">2026-08-31T13:09:00Z</dcterms:created>
  <dcterms:modified xsi:type="dcterms:W3CDTF">2026-09-17T05:56:00Z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