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EBFC" w14:textId="77777777" w:rsidR="001921A0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Acordo de Manutenibilidade e Engenharia de Software</w:t>
      </w:r>
    </w:p>
    <w:p w14:paraId="696DD8DE" w14:textId="77777777" w:rsidR="001921A0" w:rsidRDefault="00000000">
      <w:pPr>
        <w:pBdr>
          <w:bottom w:val="single" w:sz="8" w:space="6" w:color="1F3864"/>
        </w:pBdr>
        <w:spacing w:after="200"/>
        <w:jc w:val="center"/>
      </w:pPr>
      <w:r>
        <w:rPr>
          <w:i/>
          <w:iCs/>
          <w:color w:val="666666"/>
          <w:sz w:val="18"/>
          <w:szCs w:val="18"/>
        </w:rPr>
        <w:t>Engenharia de Software — Centro Universitário Católica de Santa Catarina</w:t>
      </w:r>
    </w:p>
    <w:p w14:paraId="3625B0F0" w14:textId="77777777" w:rsidR="001921A0" w:rsidRDefault="00000000">
      <w:pPr>
        <w:spacing w:after="60"/>
      </w:pPr>
      <w:r>
        <w:rPr>
          <w:b/>
          <w:bCs/>
          <w:sz w:val="22"/>
          <w:szCs w:val="22"/>
        </w:rPr>
        <w:t xml:space="preserve">Nome do Projeto: </w:t>
      </w:r>
      <w:r>
        <w:rPr>
          <w:sz w:val="22"/>
          <w:szCs w:val="22"/>
        </w:rPr>
        <w:t>Plataforma de Venda de Ingressos para Teatro Comunitário (Processo 18)</w:t>
      </w:r>
    </w:p>
    <w:p w14:paraId="5F01BD6E" w14:textId="77777777" w:rsidR="001921A0" w:rsidRDefault="00000000">
      <w:pPr>
        <w:spacing w:after="60"/>
      </w:pPr>
      <w:r>
        <w:rPr>
          <w:b/>
          <w:bCs/>
          <w:sz w:val="22"/>
          <w:szCs w:val="22"/>
        </w:rPr>
        <w:t xml:space="preserve">Nome da Equipe ou Grupo: </w:t>
      </w:r>
      <w:r>
        <w:rPr>
          <w:sz w:val="22"/>
          <w:szCs w:val="22"/>
        </w:rPr>
        <w:t>Grupo 18</w:t>
      </w:r>
    </w:p>
    <w:p w14:paraId="60CD016C" w14:textId="77777777" w:rsidR="001921A0" w:rsidRDefault="00000000">
      <w:pPr>
        <w:spacing w:after="60"/>
      </w:pPr>
      <w:r>
        <w:rPr>
          <w:b/>
          <w:bCs/>
          <w:sz w:val="22"/>
          <w:szCs w:val="22"/>
        </w:rPr>
        <w:t xml:space="preserve">Arquitetura: </w:t>
      </w:r>
      <w:r>
        <w:rPr>
          <w:sz w:val="22"/>
          <w:szCs w:val="22"/>
        </w:rPr>
        <w:t>Monólito modular com Domain-Driven Design (DDD)</w:t>
      </w:r>
    </w:p>
    <w:p w14:paraId="33BC6B9F" w14:textId="77777777" w:rsidR="001921A0" w:rsidRDefault="00000000">
      <w:pPr>
        <w:spacing w:after="60"/>
      </w:pPr>
      <w:r>
        <w:rPr>
          <w:b/>
          <w:bCs/>
          <w:sz w:val="22"/>
          <w:szCs w:val="22"/>
        </w:rPr>
        <w:t xml:space="preserve">Data da Elaboração: </w:t>
      </w:r>
      <w:r>
        <w:rPr>
          <w:sz w:val="22"/>
          <w:szCs w:val="22"/>
        </w:rPr>
        <w:t>31/07/2026</w:t>
      </w:r>
    </w:p>
    <w:p w14:paraId="5E796F01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1. Identificação da Equipe e Papéis</w:t>
      </w:r>
    </w:p>
    <w:p w14:paraId="73A454B3" w14:textId="77777777" w:rsidR="001921A0" w:rsidRDefault="00000000">
      <w:pPr>
        <w:spacing w:after="120"/>
      </w:pPr>
      <w:r>
        <w:rPr>
          <w:sz w:val="21"/>
          <w:szCs w:val="21"/>
        </w:rPr>
        <w:t>Distribuição de papéis conforme a Matriz RACI do Processo 18. Observação: o membro Gabriel Carvalho acumula os papéis de Product Owner e DevOps.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1921A0" w14:paraId="3F3B7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40FB" w14:textId="77777777" w:rsidR="001921A0" w:rsidRDefault="00000000"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8AAB" w14:textId="77777777" w:rsidR="001921A0" w:rsidRDefault="00000000"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1921A0" w14:paraId="0DCF16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93E650" w14:textId="77777777" w:rsidR="001921A0" w:rsidRDefault="00000000">
            <w:r>
              <w:rPr>
                <w:b/>
                <w:bCs/>
              </w:rPr>
              <w:t>Product Owner (PO)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77EFB" w14:textId="77777777" w:rsidR="001921A0" w:rsidRDefault="00000000">
            <w:r>
              <w:t>Gabriel Carvalho</w:t>
            </w:r>
          </w:p>
        </w:tc>
      </w:tr>
      <w:tr w:rsidR="001921A0" w14:paraId="7AEB64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A24332" w14:textId="77777777" w:rsidR="001921A0" w:rsidRDefault="00000000">
            <w:r>
              <w:rPr>
                <w:b/>
                <w:bCs/>
              </w:rPr>
              <w:t>Engenheiro de Requisitos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8B2AC" w14:textId="77777777" w:rsidR="001921A0" w:rsidRDefault="00000000">
            <w:r>
              <w:t>Renato Colin Neto</w:t>
            </w:r>
          </w:p>
        </w:tc>
      </w:tr>
      <w:tr w:rsidR="001921A0" w14:paraId="3E338E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82F64D" w14:textId="77777777" w:rsidR="001921A0" w:rsidRDefault="00000000">
            <w:r>
              <w:rPr>
                <w:b/>
                <w:bCs/>
              </w:rPr>
              <w:t>Quality Assurance (QA)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2FC8B5" w14:textId="77777777" w:rsidR="001921A0" w:rsidRDefault="00000000">
            <w:r>
              <w:t>Adrian Cesar Gonçalves</w:t>
            </w:r>
          </w:p>
        </w:tc>
      </w:tr>
      <w:tr w:rsidR="001921A0" w14:paraId="64199F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E85720" w14:textId="77777777" w:rsidR="001921A0" w:rsidRDefault="00000000">
            <w:r>
              <w:rPr>
                <w:b/>
                <w:bCs/>
              </w:rPr>
              <w:t>Desenvolvedor Frontend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635752" w14:textId="77777777" w:rsidR="001921A0" w:rsidRDefault="00000000">
            <w:r>
              <w:t>Diego Nessler</w:t>
            </w:r>
          </w:p>
        </w:tc>
      </w:tr>
      <w:tr w:rsidR="001921A0" w14:paraId="364C68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072DF6" w14:textId="77777777" w:rsidR="001921A0" w:rsidRDefault="00000000">
            <w:r>
              <w:rPr>
                <w:b/>
                <w:bCs/>
              </w:rPr>
              <w:t>Desenvolvedor Backend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7B03C5" w14:textId="77777777" w:rsidR="001921A0" w:rsidRDefault="00000000">
            <w:r>
              <w:t>Igor Thiago Seberino</w:t>
            </w:r>
          </w:p>
        </w:tc>
      </w:tr>
      <w:tr w:rsidR="001921A0" w14:paraId="312635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DBDA3" w14:textId="77777777" w:rsidR="001921A0" w:rsidRDefault="00000000">
            <w:r>
              <w:rPr>
                <w:b/>
                <w:bCs/>
              </w:rPr>
              <w:t>DevOps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0F2FA" w14:textId="77777777" w:rsidR="001921A0" w:rsidRDefault="00000000">
            <w:r>
              <w:t>Gabriel Carvalho</w:t>
            </w:r>
          </w:p>
        </w:tc>
      </w:tr>
    </w:tbl>
    <w:p w14:paraId="21E77F9B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2. Processo e Gestão de Débito Técnico</w:t>
      </w:r>
    </w:p>
    <w:p w14:paraId="491713C8" w14:textId="77777777" w:rsidR="001921A0" w:rsidRDefault="00000000">
      <w:pPr>
        <w:spacing w:after="80"/>
      </w:pPr>
      <w:r>
        <w:rPr>
          <w:b/>
          <w:bCs/>
          <w:i/>
          <w:iCs/>
          <w:color w:val="666666"/>
        </w:rPr>
        <w:t xml:space="preserve">Responsável: </w:t>
      </w:r>
      <w:r>
        <w:rPr>
          <w:i/>
          <w:iCs/>
          <w:color w:val="666666"/>
        </w:rPr>
        <w:t>Desenvolvedor Backend</w:t>
      </w:r>
    </w:p>
    <w:p w14:paraId="155EBB85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2.1. Política de Registro de Débito Técnico</w:t>
      </w:r>
    </w:p>
    <w:p w14:paraId="6E4CAB50" w14:textId="77777777" w:rsidR="001921A0" w:rsidRDefault="00000000">
      <w:pPr>
        <w:spacing w:after="100"/>
      </w:pPr>
      <w:r>
        <w:rPr>
          <w:sz w:val="21"/>
          <w:szCs w:val="21"/>
        </w:rPr>
        <w:t>Todo atalho técnico, pendência de refatoração ou solução temporária (workaround) assumida durante o desenvolvimento deve ser registrada imediatamente no backlog do projeto como uma issue/card do tipo Débito Técnico. O registro deve conter: descrição do problema, motivo do atalho, impacto estimado e proposta de solução.</w:t>
      </w:r>
    </w:p>
    <w:p w14:paraId="0E551FA4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2.2. Priorização e Pagamento da Dívida</w:t>
      </w:r>
    </w:p>
    <w:p w14:paraId="72AB888D" w14:textId="77777777" w:rsidR="001921A0" w:rsidRDefault="00000000">
      <w:pPr>
        <w:spacing w:after="100"/>
      </w:pPr>
      <w:r>
        <w:rPr>
          <w:sz w:val="21"/>
          <w:szCs w:val="21"/>
        </w:rPr>
        <w:t>A equipe reservará aproximadamente 15% do esforço de cada ciclo (sprint) para a liquidação dos débitos técnicos registrados. Débitos que afetem segurança (ex.: dados de compradores e de pagamento), desempenho (ex.: consulta de disponibilidade de ingressos) ou o trabalho de outro membro do time terão prioridade máxima e serão tratados no ciclo seguinte. A priorização será validada em conjunto com o Product Owner durante o planejamento do ciclo.</w:t>
      </w:r>
    </w:p>
    <w:p w14:paraId="39A28F58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3. Critérios de Qualidade: DoR e DoD</w:t>
      </w:r>
    </w:p>
    <w:p w14:paraId="2C620234" w14:textId="77777777" w:rsidR="001921A0" w:rsidRDefault="00000000">
      <w:pPr>
        <w:spacing w:after="80"/>
      </w:pPr>
      <w:r>
        <w:rPr>
          <w:b/>
          <w:bCs/>
          <w:i/>
          <w:iCs/>
          <w:color w:val="666666"/>
        </w:rPr>
        <w:t xml:space="preserve">Responsável: </w:t>
      </w:r>
      <w:r>
        <w:rPr>
          <w:i/>
          <w:iCs/>
          <w:color w:val="666666"/>
        </w:rPr>
        <w:t>Quality Assurance (QA) — o DoR é validado em conjunto com o Engenheiro de Requisitos</w:t>
      </w:r>
    </w:p>
    <w:p w14:paraId="46FB598F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3.1. Definition of Ready — DoR (Pronto para Desenvolver)</w:t>
      </w:r>
    </w:p>
    <w:p w14:paraId="33A7A688" w14:textId="77777777" w:rsidR="001921A0" w:rsidRDefault="00000000">
      <w:pPr>
        <w:spacing w:after="100"/>
      </w:pPr>
      <w:r>
        <w:rPr>
          <w:sz w:val="21"/>
          <w:szCs w:val="21"/>
        </w:rPr>
        <w:t>Uma tarefa só poderá entrar em desenvolvimento quando atender a todos os itens abaixo:</w:t>
      </w:r>
    </w:p>
    <w:p w14:paraId="41AC723E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história de usuário está clara no formato: </w:t>
      </w:r>
      <w:r>
        <w:rPr>
          <w:i/>
          <w:iCs/>
          <w:sz w:val="21"/>
          <w:szCs w:val="21"/>
        </w:rPr>
        <w:t>“Como [papel], eu quero [funcionalidade] para que [benefício]”</w:t>
      </w:r>
      <w:r>
        <w:rPr>
          <w:sz w:val="21"/>
          <w:szCs w:val="21"/>
        </w:rPr>
        <w:t>.</w:t>
      </w:r>
    </w:p>
    <w:p w14:paraId="0FA78F44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Os critérios de aceitação foram descritos de forma objetiva e verificável.</w:t>
      </w:r>
    </w:p>
    <w:p w14:paraId="2A2FD5E8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As regras de negócio essenciais e exceções estão especificadas (ex.: limite de ingressos por CPF, política de reembolso, expiração da reserva).</w:t>
      </w:r>
    </w:p>
    <w:p w14:paraId="082DF396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As dependências técnicas foram mapeadas (ex.: gateway de pagamento, esquema do banco de dados, envio de e-mail de confirmação).</w:t>
      </w:r>
    </w:p>
    <w:p w14:paraId="65E66DD9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lastRenderedPageBreak/>
        <w:t>O layout/protótipo da interface foi aprovado, quando aplicável.</w:t>
      </w:r>
    </w:p>
    <w:p w14:paraId="54110C0D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3.2. Definition of Done — DoD (Pronto para Entrega / Concluído)</w:t>
      </w:r>
    </w:p>
    <w:p w14:paraId="2D082FFB" w14:textId="77777777" w:rsidR="001921A0" w:rsidRDefault="00000000">
      <w:pPr>
        <w:spacing w:after="100"/>
      </w:pPr>
      <w:r>
        <w:rPr>
          <w:sz w:val="21"/>
          <w:szCs w:val="21"/>
        </w:rPr>
        <w:t>Uma tarefa só será considerada “Concluída” (Done) se atender rigorosamente a todos os itens:</w:t>
      </w:r>
    </w:p>
    <w:p w14:paraId="2E25812F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O código segue o Guia de Estilo definido na Seção 5.</w:t>
      </w:r>
    </w:p>
    <w:p w14:paraId="6FD9A91C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O código passou por Code Review (Pull Request aprovado por, no mínimo, outro desenvolvedor).</w:t>
      </w:r>
    </w:p>
    <w:p w14:paraId="0C398A7D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A funcionalidade foi validada e testada conforme a estratégia de QA (Seção 4), sem erros críticos.</w:t>
      </w:r>
    </w:p>
    <w:p w14:paraId="1682A5DE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Os testes automatizados relevantes foram criados/atualizados e estão passando na pipeline.</w:t>
      </w:r>
    </w:p>
    <w:p w14:paraId="2D2201ED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O código foi integrado à branch principal (main / trunk) sem quebrar o build.</w:t>
      </w:r>
    </w:p>
    <w:p w14:paraId="0CB0B77E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4. Estratégia de Testabilidade</w:t>
      </w:r>
    </w:p>
    <w:p w14:paraId="727C20CE" w14:textId="77777777" w:rsidR="001921A0" w:rsidRDefault="00000000">
      <w:pPr>
        <w:spacing w:after="80"/>
      </w:pPr>
      <w:r>
        <w:rPr>
          <w:b/>
          <w:bCs/>
          <w:i/>
          <w:iCs/>
          <w:color w:val="666666"/>
        </w:rPr>
        <w:t xml:space="preserve">Responsável: </w:t>
      </w:r>
      <w:r>
        <w:rPr>
          <w:i/>
          <w:iCs/>
          <w:color w:val="666666"/>
        </w:rPr>
        <w:t>Quality Assurance (QA)</w:t>
      </w:r>
    </w:p>
    <w:p w14:paraId="1F037C58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4.1. Cobertura e Níveis de Teste</w:t>
      </w:r>
    </w:p>
    <w:p w14:paraId="63C5F909" w14:textId="77777777" w:rsidR="001921A0" w:rsidRDefault="00000000">
      <w:pPr>
        <w:spacing w:after="100"/>
      </w:pPr>
      <w:r>
        <w:rPr>
          <w:sz w:val="21"/>
          <w:szCs w:val="21"/>
        </w:rPr>
        <w:t>O foco primário dos testes automatizados será nas regras de negócio da camada de domínio do backend (conforme o DDD): reserva e compra de ingressos, controle de disponibilidade de assentos, cálculo de valores e processamento de pedidos.</w:t>
      </w:r>
    </w:p>
    <w:p w14:paraId="3CEFA988" w14:textId="77777777" w:rsidR="001921A0" w:rsidRDefault="00000000">
      <w:pPr>
        <w:spacing w:after="100"/>
      </w:pPr>
      <w:r>
        <w:rPr>
          <w:sz w:val="21"/>
          <w:szCs w:val="21"/>
        </w:rPr>
        <w:t>Antes de cada entrega oficial, o QA executará um roteiro de testes cobrindo o fluxo principal (busca do evento → seleção do ingresso → pagamento → confirmação) e as regras de negócio críticas.</w:t>
      </w:r>
    </w:p>
    <w:p w14:paraId="5147A963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4.2. Registro e Resolução de Erros (Bugs)</w:t>
      </w:r>
    </w:p>
    <w:p w14:paraId="453A12C8" w14:textId="77777777" w:rsidR="001921A0" w:rsidRDefault="00000000">
      <w:pPr>
        <w:spacing w:after="100"/>
      </w:pPr>
      <w:r>
        <w:rPr>
          <w:sz w:val="21"/>
          <w:szCs w:val="21"/>
        </w:rPr>
        <w:t>Todo bug identificado durante os testes deve ser documentado com: passos para reproduzir, resultado esperado, resultado obtido, severidade e evidência (print/log). Bugs de alta severidade (que bloqueiam compra ou pagamento, ou que expõem dados) impedem o encerramento das tarefas e o fechamento do ciclo.</w:t>
      </w:r>
    </w:p>
    <w:p w14:paraId="5FEF57FF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5. Guia de Estilo e Padrões de Código</w:t>
      </w:r>
    </w:p>
    <w:p w14:paraId="7C0FCD91" w14:textId="77777777" w:rsidR="001921A0" w:rsidRDefault="00000000">
      <w:pPr>
        <w:spacing w:after="80"/>
      </w:pPr>
      <w:r>
        <w:rPr>
          <w:b/>
          <w:bCs/>
          <w:i/>
          <w:iCs/>
          <w:color w:val="666666"/>
        </w:rPr>
        <w:t xml:space="preserve">Responsável: </w:t>
      </w:r>
      <w:r>
        <w:rPr>
          <w:i/>
          <w:iCs/>
          <w:color w:val="666666"/>
        </w:rPr>
        <w:t>Desenvolvedores Frontend e Backend</w:t>
      </w:r>
    </w:p>
    <w:p w14:paraId="054E1E27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5.1. Convenções de Código (Style Guide)</w:t>
      </w:r>
    </w:p>
    <w:p w14:paraId="20E775FE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>Frontend em React (Vite); Backend em Python com FastAPI; banco de dados PostgreSQL; ambiente em contêineres Docker.</w:t>
      </w:r>
    </w:p>
    <w:p w14:paraId="6AA6511C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Backend (Python/FastAPI): </w:t>
      </w:r>
      <w:r>
        <w:rPr>
          <w:sz w:val="21"/>
          <w:szCs w:val="21"/>
        </w:rPr>
        <w:t>snake_case para variáveis e funções, PascalCase para classes e snake_case para módulos/arquivos (ex.: ticket_service.py), seguindo a PEP 8.</w:t>
      </w:r>
    </w:p>
    <w:p w14:paraId="09829616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Frontend (React): </w:t>
      </w:r>
      <w:r>
        <w:rPr>
          <w:sz w:val="21"/>
          <w:szCs w:val="21"/>
        </w:rPr>
        <w:t>camelCase para variáveis e funções, PascalCase para componentes e arquivos de componente (ex.: CheckoutPage.jsx).</w:t>
      </w:r>
    </w:p>
    <w:p w14:paraId="71C48795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Idioma do código: </w:t>
      </w:r>
      <w:r>
        <w:rPr>
          <w:sz w:val="21"/>
          <w:szCs w:val="21"/>
        </w:rPr>
        <w:t>identificadores (classes, métodos, variáveis) em Inglês; comentários em Português.</w:t>
      </w:r>
    </w:p>
    <w:p w14:paraId="1B9244CF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5.2. Boas Práticas de Manutenibilidade</w:t>
      </w:r>
    </w:p>
    <w:p w14:paraId="55667F68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Respeitar as fronteiras entre os módulos (monólito modular) e isolar as regras de domínio (DDD), evitando acoplamento direto entre módulos.</w:t>
      </w:r>
    </w:p>
    <w:p w14:paraId="58329A30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Evitar duplicação de código criando funções e módulos reutilizáveis (princípio DRY).</w:t>
      </w:r>
    </w:p>
    <w:p w14:paraId="28520260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As funções/métodos devem ter responsabilidade única e não ultrapassar 30 linhas sem justificativa técnica.</w:t>
      </w:r>
    </w:p>
    <w:p w14:paraId="6D31D5AB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Exceções devem ser capturadas e tratadas/registradas adequadamente. É proibido utilizar blocos catch vazios.</w:t>
      </w:r>
    </w:p>
    <w:p w14:paraId="2BDEF530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sz w:val="21"/>
          <w:szCs w:val="21"/>
        </w:rPr>
        <w:t>Nenhuma credencial ou segredo deve ser versionado no código; usar variáveis de ambiente (arquivo .env fora do controle de versão).</w:t>
      </w:r>
    </w:p>
    <w:p w14:paraId="2370F3DA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6. Fluxo de Versionamento e Pipeline de CI/CD</w:t>
      </w:r>
    </w:p>
    <w:p w14:paraId="3F47BBA0" w14:textId="77777777" w:rsidR="001921A0" w:rsidRDefault="00000000">
      <w:pPr>
        <w:spacing w:after="80"/>
      </w:pPr>
      <w:r>
        <w:rPr>
          <w:b/>
          <w:bCs/>
          <w:i/>
          <w:iCs/>
          <w:color w:val="666666"/>
        </w:rPr>
        <w:lastRenderedPageBreak/>
        <w:t xml:space="preserve">Responsável: </w:t>
      </w:r>
      <w:r>
        <w:rPr>
          <w:i/>
          <w:iCs/>
          <w:color w:val="666666"/>
        </w:rPr>
        <w:t>DevOps</w:t>
      </w:r>
    </w:p>
    <w:p w14:paraId="3DF5C344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6.1. Estratégia de Branches — Trunk Based Development (TBD)</w:t>
      </w:r>
    </w:p>
    <w:p w14:paraId="1850CEE3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main (trunk): </w:t>
      </w:r>
      <w:r>
        <w:rPr>
          <w:sz w:val="21"/>
          <w:szCs w:val="21"/>
        </w:rPr>
        <w:t>única branch de longa duração; deve permanecer sempre estável, integrável e apta a implantação.</w:t>
      </w:r>
    </w:p>
    <w:p w14:paraId="6F1DA35E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Branches de curta duração: </w:t>
      </w:r>
      <w:r>
        <w:rPr>
          <w:sz w:val="21"/>
          <w:szCs w:val="21"/>
        </w:rPr>
        <w:t>criadas a partir da main no padrão feature/nome-da-funcionalidade ou fix/descricao-do-bug e reintegradas em poucos dias, evitando divergência.</w:t>
      </w:r>
    </w:p>
    <w:p w14:paraId="5F11433C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Integração contínua: </w:t>
      </w:r>
      <w:r>
        <w:rPr>
          <w:sz w:val="21"/>
          <w:szCs w:val="21"/>
        </w:rPr>
        <w:t>commits pequenos e frequentes na main via Pull Request; funcionalidades incompletas ficam protegidas por feature flags quando necessário.</w:t>
      </w:r>
    </w:p>
    <w:p w14:paraId="344D38D4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6.2. Padronização de Commits</w:t>
      </w:r>
    </w:p>
    <w:p w14:paraId="1189E34D" w14:textId="77777777" w:rsidR="001921A0" w:rsidRDefault="00000000">
      <w:pPr>
        <w:spacing w:after="100"/>
      </w:pPr>
      <w:r>
        <w:rPr>
          <w:sz w:val="21"/>
          <w:szCs w:val="21"/>
        </w:rPr>
        <w:t>Os commits devem seguir a especificação Conventional Commits:</w:t>
      </w:r>
    </w:p>
    <w:p w14:paraId="71E1C2FB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feat</w:t>
      </w:r>
      <w:r>
        <w:rPr>
          <w:sz w:val="21"/>
          <w:szCs w:val="21"/>
        </w:rPr>
        <w:t xml:space="preserve"> — nova funcionalidade.</w:t>
      </w:r>
    </w:p>
    <w:p w14:paraId="7D02185B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fix</w:t>
      </w:r>
      <w:r>
        <w:rPr>
          <w:sz w:val="21"/>
          <w:szCs w:val="21"/>
        </w:rPr>
        <w:t xml:space="preserve"> — correção de bug.</w:t>
      </w:r>
    </w:p>
    <w:p w14:paraId="546D60F4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refactor</w:t>
      </w:r>
      <w:r>
        <w:rPr>
          <w:sz w:val="21"/>
          <w:szCs w:val="21"/>
        </w:rPr>
        <w:t xml:space="preserve"> — alteração de código que não altera o comportamento externo (manutenção preventiva).</w:t>
      </w:r>
    </w:p>
    <w:p w14:paraId="032D6143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docs</w:t>
      </w:r>
      <w:r>
        <w:rPr>
          <w:sz w:val="21"/>
          <w:szCs w:val="21"/>
        </w:rPr>
        <w:t xml:space="preserve"> — alterações na documentação.</w:t>
      </w:r>
    </w:p>
    <w:p w14:paraId="7EF8FB09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test</w:t>
      </w:r>
      <w:r>
        <w:rPr>
          <w:sz w:val="21"/>
          <w:szCs w:val="21"/>
        </w:rPr>
        <w:t xml:space="preserve"> — criação ou ajuste de testes.</w:t>
      </w:r>
    </w:p>
    <w:p w14:paraId="30C39537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>chore</w:t>
      </w:r>
      <w:r>
        <w:rPr>
          <w:sz w:val="21"/>
          <w:szCs w:val="21"/>
        </w:rPr>
        <w:t xml:space="preserve"> — tarefas de manutenção/configuração sem impacto em regra de negócio.</w:t>
      </w:r>
    </w:p>
    <w:p w14:paraId="5A401CA5" w14:textId="77777777" w:rsidR="001921A0" w:rsidRDefault="00000000">
      <w:pPr>
        <w:spacing w:before="140" w:after="60"/>
      </w:pPr>
      <w:r>
        <w:rPr>
          <w:b/>
          <w:bCs/>
          <w:sz w:val="21"/>
          <w:szCs w:val="21"/>
        </w:rPr>
        <w:t>6.3. Verificação Automática, Linters e Contêineres</w:t>
      </w:r>
    </w:p>
    <w:p w14:paraId="6897D296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Frontend (React): </w:t>
      </w:r>
      <w:r>
        <w:rPr>
          <w:sz w:val="21"/>
          <w:szCs w:val="21"/>
        </w:rPr>
        <w:t>ESLint e Prettier, executados automaticamente na pipeline.</w:t>
      </w:r>
    </w:p>
    <w:p w14:paraId="2376ACDF" w14:textId="5C0F800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Backend (Python): </w:t>
      </w:r>
      <w:r>
        <w:rPr>
          <w:sz w:val="21"/>
          <w:szCs w:val="21"/>
        </w:rPr>
        <w:t>Ruff</w:t>
      </w:r>
    </w:p>
    <w:p w14:paraId="1AD29B77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Contêineres Docker: </w:t>
      </w:r>
      <w:r>
        <w:rPr>
          <w:sz w:val="21"/>
          <w:szCs w:val="21"/>
        </w:rPr>
        <w:t>a aplicação deve construir e subir via Docker sem erros; o ambiente conteinerizado é o padrão de execução e da pipeline.</w:t>
      </w:r>
    </w:p>
    <w:p w14:paraId="1CA2DD67" w14:textId="77777777" w:rsidR="001921A0" w:rsidRDefault="00000000">
      <w:pPr>
        <w:pStyle w:val="PargrafodaLista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Regra de integração: </w:t>
      </w:r>
      <w:r>
        <w:rPr>
          <w:sz w:val="21"/>
          <w:szCs w:val="21"/>
        </w:rPr>
        <w:t>nenhum Pull Request será aprovado se o linter acusar erros críticos ou se os testes automatizados falharem.</w:t>
      </w:r>
    </w:p>
    <w:p w14:paraId="2F148299" w14:textId="77777777" w:rsidR="001921A0" w:rsidRDefault="00000000">
      <w:pPr>
        <w:spacing w:before="260" w:after="120"/>
      </w:pPr>
      <w:r>
        <w:rPr>
          <w:b/>
          <w:bCs/>
          <w:color w:val="1F3864"/>
          <w:sz w:val="26"/>
          <w:szCs w:val="26"/>
        </w:rPr>
        <w:t>7. Compromisso da Equipe</w:t>
      </w:r>
    </w:p>
    <w:p w14:paraId="40E2FAAE" w14:textId="77777777" w:rsidR="001921A0" w:rsidRDefault="00000000">
      <w:pPr>
        <w:spacing w:after="120"/>
      </w:pPr>
      <w:r>
        <w:rPr>
          <w:sz w:val="21"/>
          <w:szCs w:val="21"/>
        </w:rPr>
        <w:t>Todos os membros da equipe leram, concordam e se comprometem a seguir as diretrizes estabelecidas neste documento para garantir a qualidade, a manutenibilidade e a entrega sustentável do software.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800"/>
        <w:gridCol w:w="4326"/>
      </w:tblGrid>
      <w:tr w:rsidR="001921A0" w14:paraId="1E2F34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7A98B" w14:textId="77777777" w:rsidR="001921A0" w:rsidRDefault="00000000">
            <w:r>
              <w:rPr>
                <w:b/>
                <w:bCs/>
                <w:color w:val="FFFFFF"/>
              </w:rPr>
              <w:t>Ciente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2C83" w14:textId="77777777" w:rsidR="001921A0" w:rsidRDefault="00000000"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87077" w14:textId="77777777" w:rsidR="001921A0" w:rsidRDefault="00000000">
            <w:r>
              <w:rPr>
                <w:b/>
                <w:bCs/>
                <w:color w:val="FFFFFF"/>
              </w:rPr>
              <w:t>Membro</w:t>
            </w:r>
          </w:p>
        </w:tc>
      </w:tr>
      <w:tr w:rsidR="001921A0" w14:paraId="47E4FF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04106A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F65DE3" w14:textId="77777777" w:rsidR="001921A0" w:rsidRDefault="00000000">
            <w:r>
              <w:rPr>
                <w:b/>
                <w:bCs/>
              </w:rPr>
              <w:t>Product Owner (PO)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CD42F" w14:textId="77777777" w:rsidR="001921A0" w:rsidRDefault="00000000">
            <w:r>
              <w:t>Gabriel Carvalho</w:t>
            </w:r>
          </w:p>
        </w:tc>
      </w:tr>
      <w:tr w:rsidR="001921A0" w14:paraId="4D2C5B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32035E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B7ED5D" w14:textId="77777777" w:rsidR="001921A0" w:rsidRDefault="00000000">
            <w:r>
              <w:rPr>
                <w:b/>
                <w:bCs/>
              </w:rPr>
              <w:t>Engenheiro de Requisitos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19D5CF" w14:textId="77777777" w:rsidR="001921A0" w:rsidRDefault="00000000">
            <w:r>
              <w:t>Renato Colin Neto</w:t>
            </w:r>
          </w:p>
        </w:tc>
      </w:tr>
      <w:tr w:rsidR="001921A0" w14:paraId="0A7DE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CEE145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A4F5EC" w14:textId="77777777" w:rsidR="001921A0" w:rsidRDefault="00000000">
            <w:r>
              <w:rPr>
                <w:b/>
                <w:bCs/>
              </w:rPr>
              <w:t>Quality Assurance (QA)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7B411D" w14:textId="77777777" w:rsidR="001921A0" w:rsidRDefault="00000000">
            <w:r>
              <w:t>Adrian Cesar Gonçalves</w:t>
            </w:r>
          </w:p>
        </w:tc>
      </w:tr>
      <w:tr w:rsidR="001921A0" w14:paraId="786F14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60A6D4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ECE597" w14:textId="77777777" w:rsidR="001921A0" w:rsidRDefault="00000000">
            <w:r>
              <w:rPr>
                <w:b/>
                <w:bCs/>
              </w:rPr>
              <w:t>Desenvolvedor Frontend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08BC7" w14:textId="77777777" w:rsidR="001921A0" w:rsidRDefault="00000000">
            <w:r>
              <w:t>Diego Nessler</w:t>
            </w:r>
          </w:p>
        </w:tc>
      </w:tr>
      <w:tr w:rsidR="001921A0" w14:paraId="38C34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6F9036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C46B3" w14:textId="77777777" w:rsidR="001921A0" w:rsidRDefault="00000000">
            <w:r>
              <w:rPr>
                <w:b/>
                <w:bCs/>
              </w:rPr>
              <w:t>Desenvolvedor Backend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312E1F" w14:textId="77777777" w:rsidR="001921A0" w:rsidRDefault="00000000">
            <w:r>
              <w:t>Igor Thiago Seberino</w:t>
            </w:r>
          </w:p>
        </w:tc>
      </w:tr>
      <w:tr w:rsidR="001921A0" w14:paraId="591A0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AD914" w14:textId="77777777" w:rsidR="001921A0" w:rsidRDefault="00000000">
            <w:r>
              <w:t>(     )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B6B60D" w14:textId="77777777" w:rsidR="001921A0" w:rsidRDefault="00000000">
            <w:r>
              <w:rPr>
                <w:b/>
                <w:bCs/>
              </w:rPr>
              <w:t>DevOps</w:t>
            </w:r>
          </w:p>
        </w:tc>
        <w:tc>
          <w:tcPr>
            <w:tcW w:w="4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72C5C7" w14:textId="77777777" w:rsidR="001921A0" w:rsidRDefault="00000000">
            <w:r>
              <w:t>Gabriel Carvalho</w:t>
            </w:r>
          </w:p>
        </w:tc>
      </w:tr>
    </w:tbl>
    <w:p w14:paraId="569DEF9F" w14:textId="77777777" w:rsidR="00101D98" w:rsidRDefault="00101D98"/>
    <w:sectPr w:rsidR="00101D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C7B4F"/>
    <w:multiLevelType w:val="hybridMultilevel"/>
    <w:tmpl w:val="21726E08"/>
    <w:lvl w:ilvl="0" w:tplc="8EA6FDD8">
      <w:start w:val="1"/>
      <w:numFmt w:val="bullet"/>
      <w:lvlText w:val="●"/>
      <w:lvlJc w:val="left"/>
      <w:pPr>
        <w:ind w:left="720" w:hanging="360"/>
      </w:pPr>
    </w:lvl>
    <w:lvl w:ilvl="1" w:tplc="CD12D87C">
      <w:start w:val="1"/>
      <w:numFmt w:val="bullet"/>
      <w:lvlText w:val="○"/>
      <w:lvlJc w:val="left"/>
      <w:pPr>
        <w:ind w:left="1440" w:hanging="360"/>
      </w:pPr>
    </w:lvl>
    <w:lvl w:ilvl="2" w:tplc="A9AE1EBE">
      <w:start w:val="1"/>
      <w:numFmt w:val="bullet"/>
      <w:lvlText w:val="■"/>
      <w:lvlJc w:val="left"/>
      <w:pPr>
        <w:ind w:left="2160" w:hanging="360"/>
      </w:pPr>
    </w:lvl>
    <w:lvl w:ilvl="3" w:tplc="CE68F090">
      <w:start w:val="1"/>
      <w:numFmt w:val="bullet"/>
      <w:lvlText w:val="●"/>
      <w:lvlJc w:val="left"/>
      <w:pPr>
        <w:ind w:left="2880" w:hanging="360"/>
      </w:pPr>
    </w:lvl>
    <w:lvl w:ilvl="4" w:tplc="44D87D7A">
      <w:start w:val="1"/>
      <w:numFmt w:val="bullet"/>
      <w:lvlText w:val="○"/>
      <w:lvlJc w:val="left"/>
      <w:pPr>
        <w:ind w:left="3600" w:hanging="360"/>
      </w:pPr>
    </w:lvl>
    <w:lvl w:ilvl="5" w:tplc="20363262">
      <w:start w:val="1"/>
      <w:numFmt w:val="bullet"/>
      <w:lvlText w:val="■"/>
      <w:lvlJc w:val="left"/>
      <w:pPr>
        <w:ind w:left="4320" w:hanging="360"/>
      </w:pPr>
    </w:lvl>
    <w:lvl w:ilvl="6" w:tplc="30F0DDE8">
      <w:start w:val="1"/>
      <w:numFmt w:val="bullet"/>
      <w:lvlText w:val="●"/>
      <w:lvlJc w:val="left"/>
      <w:pPr>
        <w:ind w:left="5040" w:hanging="360"/>
      </w:pPr>
    </w:lvl>
    <w:lvl w:ilvl="7" w:tplc="9B9C52C6">
      <w:start w:val="1"/>
      <w:numFmt w:val="bullet"/>
      <w:lvlText w:val="●"/>
      <w:lvlJc w:val="left"/>
      <w:pPr>
        <w:ind w:left="5760" w:hanging="360"/>
      </w:pPr>
    </w:lvl>
    <w:lvl w:ilvl="8" w:tplc="DBB09496">
      <w:start w:val="1"/>
      <w:numFmt w:val="bullet"/>
      <w:lvlText w:val="●"/>
      <w:lvlJc w:val="left"/>
      <w:pPr>
        <w:ind w:left="6480" w:hanging="360"/>
      </w:pPr>
    </w:lvl>
  </w:abstractNum>
  <w:num w:numId="1" w16cid:durableId="21235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1A0"/>
    <w:rsid w:val="00101D98"/>
    <w:rsid w:val="001921A0"/>
    <w:rsid w:val="006B476A"/>
    <w:rsid w:val="007B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6478"/>
  <w15:docId w15:val="{BB1CBB3D-12B6-41E2-9498-5EAD5F35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1109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Seberino</cp:lastModifiedBy>
  <cp:revision>3</cp:revision>
  <dcterms:created xsi:type="dcterms:W3CDTF">2026-08-07T23:16:00Z</dcterms:created>
  <dcterms:modified xsi:type="dcterms:W3CDTF">2026-08-07T23:26:00Z</dcterms:modified>
</cp:coreProperties>
</file>