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Guilherme</w:t>
      </w:r>
      <w:r>
        <w:t xml:space="preserve"> </w:t>
      </w:r>
      <w:r>
        <w:t xml:space="preserve">Cavicchioli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##Dados de campo</w:t>
      </w:r>
    </w:p>
    <w:p>
      <w:pPr>
        <w:pStyle w:val="BodyText"/>
      </w:pPr>
      <w:r>
        <w:t xml:space="preserve">Durante as amostragens de avifauna foram confeccionadas 37 listas de MacKinnon, nas quais foram registradas 127 espécies de aves, distribuídas em 42 famílias destacadas em verde no</w:t>
      </w:r>
      <w:r>
        <w:t xml:space="preserve"> </w:t>
      </w:r>
      <w:r>
        <w:rPr>
          <w:bCs/>
          <w:b/>
        </w:rPr>
        <w:t xml:space="preserve">Quadro 2.9</w:t>
      </w:r>
      <w:r>
        <w:t xml:space="preserve">, e detalhadas adiante. Durante as amostragens de campo da primeira campanha (novembro de 2023), foram registradas 68 espécies e na segunda campanha (fevereiro de 2024) foram registradas 102.</w:t>
      </w:r>
      <w:r>
        <w:t xml:space="preserve"> </w:t>
      </w:r>
      <w:r>
        <w:t xml:space="preserve">No tramo Central foram registradas 61 espécies, no tramo Centro-Sul 49 espécies, no tramo Leste 66 espécies e tramo Oeste 55 espécies de aves. Sendo que todas as espécies registradas em campo, também foram encontradas nos dados bibliográficos.</w:t>
      </w:r>
    </w:p>
    <w:p>
      <w:pPr>
        <w:pStyle w:val="BodyText"/>
      </w:pPr>
      <w:r>
        <w:rPr>
          <w:iCs/>
          <w:i/>
        </w:rPr>
        <w:t xml:space="preserve">Curva do coletor</w:t>
      </w:r>
    </w:p>
    <w:p>
      <w:pPr>
        <w:pStyle w:val="SourceCode"/>
      </w:pPr>
      <w:r>
        <w:rPr>
          <w:rStyle w:val="VerbatimChar"/>
        </w:rPr>
        <w:t xml:space="preserve">  N      S      Chao Jackknife 1 Jackknife 2 Bootstrap</w:t>
      </w:r>
      <w:r>
        <w:br/>
      </w:r>
      <w:r>
        <w:rPr>
          <w:rStyle w:val="VerbatimChar"/>
        </w:rPr>
        <w:t xml:space="preserve">  1   8.86   8.86000     8.86000         NaN   8.86000</w:t>
      </w:r>
      <w:r>
        <w:br/>
      </w:r>
      <w:r>
        <w:rPr>
          <w:rStyle w:val="VerbatimChar"/>
        </w:rPr>
        <w:t xml:space="preserve">  2  16.97  76.77833    25.09000    25.09000  21.03000</w:t>
      </w:r>
      <w:r>
        <w:br/>
      </w:r>
      <w:r>
        <w:rPr>
          <w:rStyle w:val="VerbatimChar"/>
        </w:rPr>
        <w:t xml:space="preserve">  3  24.61 130.08183    39.46333    46.52167  31.29333</w:t>
      </w:r>
      <w:r>
        <w:br/>
      </w:r>
      <w:r>
        <w:rPr>
          <w:rStyle w:val="VerbatimChar"/>
        </w:rPr>
        <w:t xml:space="preserve">  4  31.32 125.71079    51.54000    63.68667  40.10152</w:t>
      </w:r>
      <w:r>
        <w:br/>
      </w:r>
      <w:r>
        <w:rPr>
          <w:rStyle w:val="VerbatimChar"/>
        </w:rPr>
        <w:t xml:space="preserve">  5  37.75 129.16238    62.77400    79.05800  48.43730</w:t>
      </w:r>
      <w:r>
        <w:br/>
      </w:r>
      <w:r>
        <w:rPr>
          <w:rStyle w:val="VerbatimChar"/>
        </w:rPr>
        <w:t xml:space="preserve">  6  43.66 133.95502    72.78500    92.29300  56.00969</w:t>
      </w:r>
      <w:r>
        <w:br/>
      </w:r>
      <w:r>
        <w:rPr>
          <w:rStyle w:val="VerbatimChar"/>
        </w:rPr>
        <w:t xml:space="preserve">  7  49.01 128.41280    81.39286   103.21786  62.71678</w:t>
      </w:r>
      <w:r>
        <w:br/>
      </w:r>
      <w:r>
        <w:rPr>
          <w:rStyle w:val="VerbatimChar"/>
        </w:rPr>
        <w:t xml:space="preserve">  8  53.98 133.52583    89.37375   113.26339  68.94652</w:t>
      </w:r>
      <w:r>
        <w:br/>
      </w:r>
      <w:r>
        <w:rPr>
          <w:rStyle w:val="VerbatimChar"/>
        </w:rPr>
        <w:t xml:space="preserve">  9  58.66 137.35918    96.53556   121.86389  74.70697</w:t>
      </w:r>
      <w:r>
        <w:br/>
      </w:r>
      <w:r>
        <w:rPr>
          <w:rStyle w:val="VerbatimChar"/>
        </w:rPr>
        <w:t xml:space="preserve"> 10  62.91 138.55928   102.71700   128.91344  79.83383</w:t>
      </w:r>
      <w:r>
        <w:br/>
      </w:r>
      <w:r>
        <w:rPr>
          <w:rStyle w:val="VerbatimChar"/>
        </w:rPr>
        <w:t xml:space="preserve"> 11  67.51 141.79901   109.49182   136.70864  85.41805</w:t>
      </w:r>
      <w:r>
        <w:br/>
      </w:r>
      <w:r>
        <w:rPr>
          <w:rStyle w:val="VerbatimChar"/>
        </w:rPr>
        <w:t xml:space="preserve"> 12  71.46 142.89657   114.94667   142.44970  90.11049</w:t>
      </w:r>
      <w:r>
        <w:br/>
      </w:r>
      <w:r>
        <w:rPr>
          <w:rStyle w:val="VerbatimChar"/>
        </w:rPr>
        <w:t xml:space="preserve"> 13  75.28 144.18049   120.25231   148.10487  94.65605</w:t>
      </w:r>
      <w:r>
        <w:br/>
      </w:r>
      <w:r>
        <w:rPr>
          <w:rStyle w:val="VerbatimChar"/>
        </w:rPr>
        <w:t xml:space="preserve"> 14  78.84 145.96856   124.86000   152.72637  98.77536</w:t>
      </w:r>
      <w:r>
        <w:br/>
      </w:r>
      <w:r>
        <w:rPr>
          <w:rStyle w:val="VerbatimChar"/>
        </w:rPr>
        <w:t xml:space="preserve"> 15  82.29 147.77247   129.41400   157.34233 102.79713</w:t>
      </w:r>
      <w:r>
        <w:br/>
      </w:r>
      <w:r>
        <w:rPr>
          <w:rStyle w:val="VerbatimChar"/>
        </w:rPr>
        <w:t xml:space="preserve"> 16  85.48 148.27398   133.33937   160.88262 106.43062</w:t>
      </w:r>
      <w:r>
        <w:br/>
      </w:r>
      <w:r>
        <w:rPr>
          <w:rStyle w:val="VerbatimChar"/>
        </w:rPr>
        <w:t xml:space="preserve"> 17  88.54 150.20127   137.26471   164.91930 109.94202</w:t>
      </w:r>
      <w:r>
        <w:br/>
      </w:r>
      <w:r>
        <w:rPr>
          <w:rStyle w:val="VerbatimChar"/>
        </w:rPr>
        <w:t xml:space="preserve"> 18  91.47 152.34842   140.79833   168.22578 113.23812</w:t>
      </w:r>
      <w:r>
        <w:br/>
      </w:r>
      <w:r>
        <w:rPr>
          <w:rStyle w:val="VerbatimChar"/>
        </w:rPr>
        <w:t xml:space="preserve"> 19  94.31 153.18137   144.07526   171.03170 116.39427</w:t>
      </w:r>
      <w:r>
        <w:br/>
      </w:r>
      <w:r>
        <w:rPr>
          <w:rStyle w:val="VerbatimChar"/>
        </w:rPr>
        <w:t xml:space="preserve"> 20  96.93 153.83024   146.93800   173.23695 119.25295</w:t>
      </w:r>
      <w:r>
        <w:br/>
      </w:r>
      <w:r>
        <w:rPr>
          <w:rStyle w:val="VerbatimChar"/>
        </w:rPr>
        <w:t xml:space="preserve"> 21  99.34 154.87197   149.48286   175.20931 121.84630</w:t>
      </w:r>
      <w:r>
        <w:br/>
      </w:r>
      <w:r>
        <w:rPr>
          <w:rStyle w:val="VerbatimChar"/>
        </w:rPr>
        <w:t xml:space="preserve"> 22 101.70 155.47814   151.82318   176.77167 124.34031</w:t>
      </w:r>
      <w:r>
        <w:br/>
      </w:r>
      <w:r>
        <w:rPr>
          <w:rStyle w:val="VerbatimChar"/>
        </w:rPr>
        <w:t xml:space="preserve"> 23 103.77 155.57395   153.62391   177.70626 126.43312</w:t>
      </w:r>
      <w:r>
        <w:br/>
      </w:r>
      <w:r>
        <w:rPr>
          <w:rStyle w:val="VerbatimChar"/>
        </w:rPr>
        <w:t xml:space="preserve"> 24 106.18 157.07420   156.27208   180.07393 129.04175</w:t>
      </w:r>
      <w:r>
        <w:br/>
      </w:r>
      <w:r>
        <w:rPr>
          <w:rStyle w:val="VerbatimChar"/>
        </w:rPr>
        <w:t xml:space="preserve"> 25 108.05 157.06293   157.93160   181.03932 130.93235</w:t>
      </w:r>
      <w:r>
        <w:br/>
      </w:r>
      <w:r>
        <w:rPr>
          <w:rStyle w:val="VerbatimChar"/>
        </w:rPr>
        <w:t xml:space="preserve"> 26 109.90 157.56357   159.52500   182.14888 132.76703</w:t>
      </w:r>
      <w:r>
        <w:br/>
      </w:r>
      <w:r>
        <w:rPr>
          <w:rStyle w:val="VerbatimChar"/>
        </w:rPr>
        <w:t xml:space="preserve"> 27 111.77 158.90852   161.27593   183.66410 134.65426</w:t>
      </w:r>
      <w:r>
        <w:br/>
      </w:r>
      <w:r>
        <w:rPr>
          <w:rStyle w:val="VerbatimChar"/>
        </w:rPr>
        <w:t xml:space="preserve"> 28 113.43 160.71821   162.82071   185.37193 136.28971</w:t>
      </w:r>
      <w:r>
        <w:br/>
      </w:r>
      <w:r>
        <w:rPr>
          <w:rStyle w:val="VerbatimChar"/>
        </w:rPr>
        <w:t xml:space="preserve"> 29 115.22 160.80494   164.21034   185.92706 138.03448</w:t>
      </w:r>
      <w:r>
        <w:br/>
      </w:r>
      <w:r>
        <w:rPr>
          <w:rStyle w:val="VerbatimChar"/>
        </w:rPr>
        <w:t xml:space="preserve"> 30 116.87 162.18419   165.80267   187.48239 139.69903</w:t>
      </w:r>
      <w:r>
        <w:br/>
      </w:r>
      <w:r>
        <w:rPr>
          <w:rStyle w:val="VerbatimChar"/>
        </w:rPr>
        <w:t xml:space="preserve"> 31 118.27 162.09663   166.65710   187.70392 140.94757</w:t>
      </w:r>
      <w:r>
        <w:br/>
      </w:r>
      <w:r>
        <w:rPr>
          <w:rStyle w:val="VerbatimChar"/>
        </w:rPr>
        <w:t xml:space="preserve"> 32 119.94 164.10875   168.30000   189.55161 142.62082</w:t>
      </w:r>
      <w:r>
        <w:br/>
      </w:r>
      <w:r>
        <w:rPr>
          <w:rStyle w:val="VerbatimChar"/>
        </w:rPr>
        <w:t xml:space="preserve"> 33 121.53 166.21000   169.95667   191.47084 144.23832</w:t>
      </w:r>
      <w:r>
        <w:br/>
      </w:r>
      <w:r>
        <w:rPr>
          <w:rStyle w:val="VerbatimChar"/>
        </w:rPr>
        <w:t xml:space="preserve"> 34 123.11 168.16686   171.56176   193.41075 145.82659</w:t>
      </w:r>
      <w:r>
        <w:br/>
      </w:r>
      <w:r>
        <w:rPr>
          <w:rStyle w:val="VerbatimChar"/>
        </w:rPr>
        <w:t xml:space="preserve"> 35 124.55 169.25567   172.83000   194.63385 147.21929</w:t>
      </w:r>
      <w:r>
        <w:br/>
      </w:r>
      <w:r>
        <w:rPr>
          <w:rStyle w:val="VerbatimChar"/>
        </w:rPr>
        <w:t xml:space="preserve"> 36 125.69 170.04224   173.63028   195.44775 148.22091</w:t>
      </w:r>
      <w:r>
        <w:br/>
      </w:r>
      <w:r>
        <w:rPr>
          <w:rStyle w:val="VerbatimChar"/>
        </w:rPr>
        <w:t xml:space="preserve"> 37 127.00 170.26126   174.67568   196.19595 149.46029</w:t>
      </w:r>
    </w:p>
    <w:p>
      <w:pPr>
        <w:pStyle w:val="FirstParagraph"/>
      </w:pPr>
      <w:r>
        <w:t xml:space="preserve">A curva do coletor obtida nos levantamentos de campo não se estabilizou, isto é, não atingiu um platô horizontal, indicando que mais espécies de aves poderiam ser encontradas na AID e ADA com mais esforço de campo (</w:t>
      </w:r>
      <w:r>
        <w:rPr>
          <w:bCs/>
          <w:b/>
        </w:rPr>
        <w:t xml:space="preserve">figura 2.10</w:t>
      </w:r>
      <w:r>
        <w:t xml:space="preserve">). De fato, o número de espécies registradas em campo (127) representou 73% do número estimado de espécies através do estimador Jackknife de primeira ordem (175 espécies;</w:t>
      </w:r>
      <w:r>
        <w:t xml:space="preserve"> </w:t>
      </w:r>
      <w:r>
        <w:rPr>
          <w:bCs/>
          <w:b/>
        </w:rPr>
        <w:t xml:space="preserve">figura 2.10</w:t>
      </w:r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a 2.10 Curva do coletor (linha vermelha) da amostragem de aves realizadas na AID e ADA dos quatro tramos (Central, Centro-Sul, Oeste e Leste), obtida a partir de 100 aleatorizações dos dados de campo. A linha cinza representa estimativas de riqueza (número de espécies) obtidas através do estimador Jackknife de primeira ordem (COLWELL, 2013). barras verticais em ambas as curvas representam desvios-padrão. Amostragens realizadas em duas campanhas (setembro de 2023 e fevereiro de 2024)." title="" id="21" name="Picture"/>
            <a:graphic>
              <a:graphicData uri="http://schemas.openxmlformats.org/drawingml/2006/picture">
                <pic:pic>
                  <pic:nvPicPr>
                    <pic:cNvPr descr="resultados_files/figure-docx/gráfico%20curva%20do%20coleto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2.10 Curva do coletor (linha vermelha) da amostragem de aves realizadas na AID e ADA dos quatro tramos (Central, Centro-Sul, Oeste e Leste), obtida a partir de 100 aleatorizações dos dados de campo. A linha cinza representa estimativas de riqueza (número de espécies) obtidas através do estimador Jackknife de primeira ordem (COLWELL, 2013). barras verticais em ambas as curvas representam desvios-padrão. Amostragens realizadas em duas campanhas (setembro de 2023 e fevereiro de 2024).</w:t>
      </w:r>
    </w:p>
    <w:bookmarkStart w:id="27" w:name="abundância"/>
    <w:p>
      <w:pPr>
        <w:pStyle w:val="Heading4"/>
      </w:pPr>
      <w:r>
        <w:t xml:space="preserve">Abundância</w:t>
      </w:r>
    </w:p>
    <w:p>
      <w:pPr>
        <w:pStyle w:val="FirstParagraph"/>
      </w:pPr>
      <w:r>
        <w:t xml:space="preserve">As espécies com maior frequência de ocorrência nas listas de MacKinnon foram: bem-te-vi (</w:t>
      </w:r>
      <w:r>
        <w:rPr>
          <w:iCs/>
          <w:i/>
        </w:rPr>
        <w:t xml:space="preserve">Pitangus sulphuratus</w:t>
      </w:r>
      <w:r>
        <w:t xml:space="preserve">) presente em 15 listas (FOLM = 41%), asa-branca (</w:t>
      </w:r>
      <w:r>
        <w:rPr>
          <w:iCs/>
          <w:i/>
        </w:rPr>
        <w:t xml:space="preserve">Patagioenas picazuro</w:t>
      </w:r>
      <w:r>
        <w:t xml:space="preserve">) presente em 11 listas (FOLM = 30%) sanhaço-cinzento (</w:t>
      </w:r>
      <w:r>
        <w:rPr>
          <w:iCs/>
          <w:i/>
        </w:rPr>
        <w:t xml:space="preserve">Thraupis sayaca</w:t>
      </w:r>
      <w:r>
        <w:t xml:space="preserve">) presente em 11 listas (FOLM = 30%) e sabiá-branco (</w:t>
      </w:r>
      <w:r>
        <w:rPr>
          <w:iCs/>
          <w:i/>
        </w:rPr>
        <w:t xml:space="preserve">Turdus leucomelas</w:t>
      </w:r>
      <w:r>
        <w:t xml:space="preserve">) que esteve presente em 11 listas (FOLM = 30%;</w:t>
      </w:r>
      <w:r>
        <w:t xml:space="preserve"> </w:t>
      </w:r>
      <w:hyperlink w:anchor="fig-FOLM">
        <w:r>
          <w:rPr>
            <w:rStyle w:val="Hyperlink"/>
          </w:rPr>
          <w:t xml:space="preserve">Figura 1</w:t>
        </w:r>
      </w:hyperlink>
      <w:r>
        <w:t xml:space="preserve"> </w:t>
      </w:r>
      <w:r>
        <w:t xml:space="preserve">e tabela 2.3.3.2). Por outro lado, 48 (38%) espécies foram registradas em apenas uma lista, entre elas papagaio (</w:t>
      </w:r>
      <w:r>
        <w:rPr>
          <w:iCs/>
          <w:i/>
        </w:rPr>
        <w:t xml:space="preserve">Amazona aestiva</w:t>
      </w:r>
      <w:r>
        <w:t xml:space="preserve">), ananaí (</w:t>
      </w:r>
      <w:r>
        <w:rPr>
          <w:iCs/>
          <w:i/>
        </w:rPr>
        <w:t xml:space="preserve">Amazonetta brasiliensis</w:t>
      </w:r>
      <w:r>
        <w:t xml:space="preserve">) e pombo-doméstico (</w:t>
      </w:r>
      <w:r>
        <w:rPr>
          <w:iCs/>
          <w:i/>
        </w:rPr>
        <w:t xml:space="preserve">Columba livia</w:t>
      </w:r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fig-FOLM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ados_files/figure-docx/fig-FOLM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Figura 2.3.3.2. Perfil de abundância das espécies de aves registradas em campo através da técnica de listas de MacKinnon. Para ver a identidade de cada espécie no ranque consultar a Tabela 2.3.3.2.</w:t>
            </w:r>
          </w:p>
          <w:bookmarkEnd w:id="26"/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Ranque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Espécie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Nome popular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FOLM (%)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Pitangus sulphuratus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bem-te-vi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Patagioenas picazuro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asa-branca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Thraupis sayaca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sanhaço-cinzento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Turdus leucomelas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sabiá-branco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Coragyps atratus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urubu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Psittacara leucophthalmus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periquitão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Troglodytes musculus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corruíra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Volatinia jacarina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tiziu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Rupornis magnirostris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gavião-carijó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Basileuterus culicivorus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pula-pula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Camptostoma obsoletum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risadinha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Conirostrum speciosum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figuinha-de-rabo-castanho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Elaenia flavogaster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guaracava-de-barriga-amarela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Stilpnia cayana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saíra-amarela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Vireo chivi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juruviara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Celeus flavescens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pica-pau-de-cabeça-amarela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Chiroxiphia caudata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tangará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Columbina talpacoti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rolinha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Guira guira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anu-branco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Leptotila verreauxi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juriti-pupu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Myiodynastes maculatus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bem-te-vi-rajado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Myiothlypis flaveola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canário-do-mato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Penelope obscura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jacuguaçu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Piaya cayana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alma-de-gato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Pygochelidon cyanoleuca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andorinha-pequena-de-casa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Sporophila caerulescens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coleirinho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Synallaxis frontalis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petrim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Tolmomyias sulphurescens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bico-chato-de-orelha-preta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Turdus rufiventris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sabiá-laranjeira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Athene cunicularia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coruja-buraqueira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Automolus leucophthalmus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barranqueiro-de-olho-branco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Caracara plancus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carcará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Cariama cristata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seriema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Crypturellus parvirostris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inambu-chororó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Furnarius rufus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joão-de-barro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Gallinula galeata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galinha-d'água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Lathrotriccus euleri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enferrujado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Leptopogon amaurocephalus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cabeçudo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Megaceryle torquata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martim-pescador-grande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Mesembrinibis cayennensis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coró-coró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Milvago chimachima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carrapateiro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Myiothlypis leucoblephara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pula-pula-assobiador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Pachyramphus polychopterus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caneleiro-preto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Stelgidopteryx ruficollis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andorinha-serradora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Tapera naevia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Thamnophilus caerulescens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choca-da-mata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Thamnophilus doliatus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choca-barrada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Todirostrum cinereum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ferreirinho-relógio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Tyrannus melancholicus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suiriri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Vanellus chilensis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quero-quero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Zenaida auriculata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avoante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Ammodramus humeralis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tico-tico-do-campo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Aramides cajaneus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saracura-três-potes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Brotogeris tirica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periquito-verde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Cairina moschata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pato-do-mato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Cathartes aura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urubu-de-cabeça-vermelha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Chloroceryle americana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martim-pescador-pequeno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Chlorostilbon lucidus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besourinho-de-bico-vermelho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Coereba flaveola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cambacica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Colaptes campestris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pica-pau-do-campo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Cranioleuca pallida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arredio-pálido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Crotophaga 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anu-preto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Cyclarhis gujanensis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pitiguari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Empidonomus varius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Fluvicola nengeta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lavadeira-mascarada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Forpus xanthopterygius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Herpsilochmus rufimarginatus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chorozinho-de-asa-vermelha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Jacana jacana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jaçanã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Molothrus bonariensis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chupim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Myiornis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miudinho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Myiozetetes similis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bentevizinho-de-penacho-vermelho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Phaethornis pretrei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rabo-branco-acanelado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Picumnus temminckii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picapauzinho-de-coleira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Progne tapera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andorinha-do-campo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Setophaga pitiayumi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mariquita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Sicalis flaveola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canário-da-terra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Syrigma sibilatrix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maria-faceira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Tyrannus savana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tesourinha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Zonotrichia capensis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tico-tico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Amazona aestiva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papagaio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Amazonetta brasiliensis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ananaí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Antilophia galeata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soldadinho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Aramus guarauna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Ardea cocoi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garça-moura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Bubulcus ibis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garça-vaqueira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Certhiaxis cinnamomeus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curutié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Columba livia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pombo-doméstico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Conopophaga lineata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chupa-dente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Coryphospingus cucullatus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tico-tico-rei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Corythopis delalandi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estalador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Crypturellus obsoletus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inambuguaçu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Cyanocorax cristatellus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gralha-do-campo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Dacnis cayana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saí-azul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Donacobius atricapilla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japacanim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Dryocopus lineatus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pica-pau-de-banda-branca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Dysithamnus mentalis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choquinha-lisa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Egretta thula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garça-branca-pequena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Eupetomena macroura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beija-flor-tesoura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Falco femoralis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falcão-de-coleira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Galbula ruficauda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ariramba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Geothlypis aequinoctialis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pia-cobra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Geranoaetus albicaudatus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gavião-de-rabo-branco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Hemitriccus nidipendulus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tachuri-campainha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Heterospizias meridionalis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gavião-caboclo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Knipolegus lophotes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maria-preta-de-penacho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Lepidocolaptes angustirostris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arapaçu-de-cerrado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Machetornis rixosa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suiriri-cavaleiro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Megarynchus pitangua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neinei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Melanerpes candidus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pica-pau-branco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Myiarchus ferox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maria-cavaleira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Myiarchus swainsoni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irré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Pandion haliaetus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águia-pescadora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Phaethornis eurynome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rabo-branco-de-garganta-rajada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Pionus maximiliani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maitaca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Psarocolius decumanus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japu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Ramphastos toco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tucanuçu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Ramphocelus carbo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pipira-vermelha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Saltator similis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trinca-ferro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Sicalis luteola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tipio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Sittasomus griseicapillus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arapaçu-verde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Streptoprocne zonaris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taperuçu-de-coleira-branca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Taraba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choró-boi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Tersina viridis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saí-andorinha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Thraupis palmarum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sanhaço-do-coqueiro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Trichothraupis melanops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tiê-de-topete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Veniliornis spilogaster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picapauzinho-verde-carijó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Xiphorhynchus fuscus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arapaçu-rajado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Verdana" w:hAnsi="Verdana" w:eastAsia="Verdana" w:cs="Verdan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27"/>
    <w:bookmarkStart w:id="32" w:name="habitat-preferencial"/>
    <w:p>
      <w:pPr>
        <w:pStyle w:val="Heading4"/>
      </w:pPr>
      <w:r>
        <w:t xml:space="preserve">Habitat preferencial</w:t>
      </w:r>
    </w:p>
    <w:p>
      <w:pPr>
        <w:pStyle w:val="FirstParagraph"/>
      </w:pPr>
      <w:r>
        <w:t xml:space="preserve">Das 127 espécies de aves registradas durante as amostragens de campo nos quatro tramos, 72 (57% do total) são classificadas como dependentes de ambientes florestais, como chupa-dente (</w:t>
      </w:r>
      <w:r>
        <w:rPr>
          <w:iCs/>
          <w:i/>
        </w:rPr>
        <w:t xml:space="preserve">Conopophaga lineata</w:t>
      </w:r>
      <w:r>
        <w:t xml:space="preserve">), curutié (</w:t>
      </w:r>
      <w:r>
        <w:rPr>
          <w:iCs/>
          <w:i/>
        </w:rPr>
        <w:t xml:space="preserve">curutié</w:t>
      </w:r>
      <w:r>
        <w:t xml:space="preserve">) e juriti-pupu (</w:t>
      </w:r>
      <w:r>
        <w:rPr>
          <w:iCs/>
          <w:i/>
        </w:rPr>
        <w:t xml:space="preserve">Leptotila verreauxi</w:t>
      </w:r>
      <w:r>
        <w:t xml:space="preserve">; figura 2.3.3.3). Enquanto 35% (44 spp.) das espécies são classificadas como não depentes de ambientes florestais. Ainda, 11 espécies ocupam ambientes aquáticos, como ananaí (</w:t>
      </w:r>
      <w:r>
        <w:rPr>
          <w:iCs/>
          <w:i/>
        </w:rPr>
        <w:t xml:space="preserve">Amazonetta brasiliensis</w:t>
      </w:r>
      <w:r>
        <w:t xml:space="preserve">), carão (</w:t>
      </w:r>
      <w:r>
        <w:rPr>
          <w:iCs/>
          <w:i/>
        </w:rPr>
        <w:t xml:space="preserve">Aramus guarauna</w:t>
      </w:r>
      <w:r>
        <w:t xml:space="preserve">) e o garça-moura (</w:t>
      </w:r>
      <w:r>
        <w:rPr>
          <w:iCs/>
          <w:i/>
        </w:rPr>
        <w:t xml:space="preserve">Ardea cocoi</w:t>
      </w:r>
      <w:r>
        <w:t xml:space="preserve">; figura 2.3.3.3).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habita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resultados_files/figure-docx/fig-habit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Classificação do ambiente preferencial (florestal, não-florestal e aquático) das espécies de aves registradas durante amostragem realizadas na AID e ADA dos quatro tramos (Central, Centro-Sul, Oeste e Leste). Amostragens realizadas em duas campanhas (setembro de 2023 e fevereiro de 2024).</w:t>
            </w:r>
          </w:p>
          <w:bookmarkEnd w:id="31"/>
        </w:tc>
      </w:tr>
    </w:tbl>
    <w:bookmarkEnd w:id="32"/>
    <w:bookmarkStart w:id="37" w:name="sensibilidade-a-alterações-ambientais"/>
    <w:p>
      <w:pPr>
        <w:pStyle w:val="Heading4"/>
      </w:pPr>
      <w:r>
        <w:t xml:space="preserve">Sensibilidade a alterações ambientais</w:t>
      </w:r>
    </w:p>
    <w:p>
      <w:pPr>
        <w:pStyle w:val="FirstParagraph"/>
      </w:pPr>
      <w:r>
        <w:t xml:space="preserve">Em relação a sensibilidade a alterações ambientais, 2 (2% do total) espécies são classificadas como altamente sensíveis a modificações em seu habitat, são elas arapaçu-rajado (</w:t>
      </w:r>
      <w:r>
        <w:rPr>
          <w:iCs/>
          <w:i/>
        </w:rPr>
        <w:t xml:space="preserve">Xiphorhynchus fuscus</w:t>
      </w:r>
      <w:r>
        <w:t xml:space="preserve">) e saracura-três-potes (</w:t>
      </w:r>
      <w:r>
        <w:rPr>
          <w:iCs/>
          <w:i/>
        </w:rPr>
        <w:t xml:space="preserve">Aramides cajaneus</w:t>
      </w:r>
      <w:r>
        <w:t xml:space="preserve">). Já 69% ( 88 spp.) das espécies apresentam sensibilidade média a alterações, entre elas coruja-buraqueira (</w:t>
      </w:r>
      <w:r>
        <w:rPr>
          <w:iCs/>
          <w:i/>
        </w:rPr>
        <w:t xml:space="preserve">Athene cunicularia</w:t>
      </w:r>
      <w:r>
        <w:t xml:space="preserve">), arapaçu-de-cerrado (</w:t>
      </w:r>
      <w:r>
        <w:rPr>
          <w:iCs/>
          <w:i/>
        </w:rPr>
        <w:t xml:space="preserve">Lepidocolaptes angustirostris</w:t>
      </w:r>
      <w:r>
        <w:t xml:space="preserve">) e canário-do-mato(</w:t>
      </w:r>
      <w:r>
        <w:rPr>
          <w:iCs/>
          <w:i/>
        </w:rPr>
        <w:t xml:space="preserve">Myiothlypis flaveola</w:t>
      </w:r>
      <w:r>
        <w:t xml:space="preserve">; figura 2.3.3.4). Além disso, 37 espécies possuem baixa sensibilidade a alterações em seu habitat (figura 2.3.3.4).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ensi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resultados_files/figure-docx/fig-sensi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Classificação de sensibilidade (alta, média e baixa) a alterações em seus ambientes das espécies de aves registradas durante amostragem realizadas na AID e ADA dos quatro tramos (Central, Centro-Sul, Oeste e Leste). Amostragens realizadas em duas campanhas (setembro de 2023 e fevereiro de 2024).</w:t>
            </w:r>
          </w:p>
          <w:bookmarkEnd w:id="36"/>
        </w:tc>
      </w:tr>
    </w:tbl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Cavicchioli</dc:creator>
  <dc:language>pt</dc:language>
  <cp:keywords/>
  <dcterms:created xsi:type="dcterms:W3CDTF">2024-03-27T11:26:43Z</dcterms:created>
  <dcterms:modified xsi:type="dcterms:W3CDTF">2024-03-27T11:26:43Z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Índice</vt:lpwstr>
  </property>
</Properties>
</file>