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BlueRiver Retail Group</w:t>
      </w:r>
    </w:p>
    <w:p>
      <w:r>
        <w:rPr>
          <w:b/>
        </w:rPr>
        <w:t>Board Finance Committee Memorandum</w:t>
        <w:br/>
      </w:r>
      <w:r>
        <w:t>Reporting Period: FY2025 ended December 31, 2025</w:t>
      </w:r>
    </w:p>
    <w:p>
      <w:r>
        <w:t>This memo was prepared for the Board Finance Committee for an internal performance review.</w:t>
      </w:r>
    </w:p>
    <w:p>
      <w:pPr>
        <w:pStyle w:val="Heading1"/>
      </w:pPr>
      <w:r>
        <w:t>Financial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Revenue</w:t>
            </w:r>
          </w:p>
        </w:tc>
        <w:tc>
          <w:tcPr>
            <w:tcW w:type="dxa" w:w="4320"/>
          </w:tcPr>
          <w:p>
            <w:r>
              <w:t>$842.0 million</w:t>
            </w:r>
          </w:p>
        </w:tc>
      </w:tr>
      <w:tr>
        <w:tc>
          <w:tcPr>
            <w:tcW w:type="dxa" w:w="4320"/>
          </w:tcPr>
          <w:p>
            <w:r>
              <w:t>Cost of Goods Sold</w:t>
            </w:r>
          </w:p>
        </w:tc>
        <w:tc>
          <w:tcPr>
            <w:tcW w:type="dxa" w:w="4320"/>
          </w:tcPr>
          <w:p>
            <w:r>
              <w:t>$512.5 million</w:t>
            </w:r>
          </w:p>
        </w:tc>
      </w:tr>
      <w:tr>
        <w:tc>
          <w:tcPr>
            <w:tcW w:type="dxa" w:w="4320"/>
          </w:tcPr>
          <w:p>
            <w:r>
              <w:t>Gross Profit</w:t>
            </w:r>
          </w:p>
        </w:tc>
        <w:tc>
          <w:tcPr>
            <w:tcW w:type="dxa" w:w="4320"/>
          </w:tcPr>
          <w:p>
            <w:r>
              <w:t>$329.5 million</w:t>
            </w:r>
          </w:p>
        </w:tc>
      </w:tr>
      <w:tr>
        <w:tc>
          <w:tcPr>
            <w:tcW w:type="dxa" w:w="4320"/>
          </w:tcPr>
          <w:p>
            <w:r>
              <w:t>Operating Expenses</w:t>
            </w:r>
          </w:p>
        </w:tc>
        <w:tc>
          <w:tcPr>
            <w:tcW w:type="dxa" w:w="4320"/>
          </w:tcPr>
          <w:p>
            <w:r>
              <w:t>$255.8 million</w:t>
            </w:r>
          </w:p>
        </w:tc>
      </w:tr>
      <w:tr>
        <w:tc>
          <w:tcPr>
            <w:tcW w:type="dxa" w:w="4320"/>
          </w:tcPr>
          <w:p>
            <w:r>
              <w:t>Operating Income</w:t>
            </w:r>
          </w:p>
        </w:tc>
        <w:tc>
          <w:tcPr>
            <w:tcW w:type="dxa" w:w="4320"/>
          </w:tcPr>
          <w:p>
            <w:r>
              <w:t>$73.7 million</w:t>
            </w:r>
          </w:p>
        </w:tc>
      </w:tr>
      <w:tr>
        <w:tc>
          <w:tcPr>
            <w:tcW w:type="dxa" w:w="4320"/>
          </w:tcPr>
          <w:p>
            <w:r>
              <w:t>Operating Margin</w:t>
            </w:r>
          </w:p>
        </w:tc>
        <w:tc>
          <w:tcPr>
            <w:tcW w:type="dxa" w:w="4320"/>
          </w:tcPr>
          <w:p>
            <w:r>
              <w:t>8.8%</w:t>
            </w:r>
          </w:p>
        </w:tc>
      </w:tr>
      <w:tr>
        <w:tc>
          <w:tcPr>
            <w:tcW w:type="dxa" w:w="4320"/>
          </w:tcPr>
          <w:p>
            <w:r>
              <w:t>Net Income</w:t>
            </w:r>
          </w:p>
        </w:tc>
        <w:tc>
          <w:tcPr>
            <w:tcW w:type="dxa" w:w="4320"/>
          </w:tcPr>
          <w:p>
            <w:r>
              <w:t>$51.4 million</w:t>
            </w:r>
          </w:p>
        </w:tc>
      </w:tr>
      <w:tr>
        <w:tc>
          <w:tcPr>
            <w:tcW w:type="dxa" w:w="4320"/>
          </w:tcPr>
          <w:p>
            <w:r>
              <w:t>Cash From Operations</w:t>
            </w:r>
          </w:p>
        </w:tc>
        <w:tc>
          <w:tcPr>
            <w:tcW w:type="dxa" w:w="4320"/>
          </w:tcPr>
          <w:p>
            <w:r>
              <w:t>$67.2 million</w:t>
            </w:r>
          </w:p>
        </w:tc>
      </w:tr>
      <w:tr>
        <w:tc>
          <w:tcPr>
            <w:tcW w:type="dxa" w:w="4320"/>
          </w:tcPr>
          <w:p>
            <w:r>
              <w:t>Capital Expenditures</w:t>
            </w:r>
          </w:p>
        </w:tc>
        <w:tc>
          <w:tcPr>
            <w:tcW w:type="dxa" w:w="4320"/>
          </w:tcPr>
          <w:p>
            <w:r>
              <w:t>$24.6 million</w:t>
            </w:r>
          </w:p>
        </w:tc>
      </w:tr>
      <w:tr>
        <w:tc>
          <w:tcPr>
            <w:tcW w:type="dxa" w:w="4320"/>
          </w:tcPr>
          <w:p>
            <w:r>
              <w:t>Debt</w:t>
            </w:r>
          </w:p>
        </w:tc>
        <w:tc>
          <w:tcPr>
            <w:tcW w:type="dxa" w:w="4320"/>
          </w:tcPr>
          <w:p>
            <w:r>
              <w:t>$138.0 million</w:t>
            </w:r>
          </w:p>
        </w:tc>
      </w:tr>
    </w:tbl>
    <w:p>
      <w:pPr>
        <w:pStyle w:val="Heading1"/>
      </w:pPr>
      <w:r>
        <w:t>Operating Commentary</w:t>
      </w:r>
    </w:p>
    <w:p>
      <w:pPr>
        <w:pStyle w:val="ListBullet"/>
      </w:pPr>
      <w:r>
        <w:t>Same-store sales increased 4.2% year over year.</w:t>
      </w:r>
    </w:p>
    <w:p>
      <w:pPr>
        <w:pStyle w:val="ListBullet"/>
      </w:pPr>
      <w:r>
        <w:t>Inventory increased 6.5% year over year.</w:t>
      </w:r>
    </w:p>
    <w:p>
      <w:pPr>
        <w:pStyle w:val="ListBullet"/>
      </w:pPr>
      <w:r>
        <w:t>The main risks noted were markdown pressure in discretionary categories and higher outbound freight costs.</w:t>
      </w:r>
    </w:p>
    <w:p>
      <w:pPr>
        <w:pStyle w:val="ListBullet"/>
      </w:pPr>
      <w:r>
        <w:t>Management recommended disciplined promotions and a slower pace of new store openings in the first half of FY2026.</w:t>
      </w:r>
    </w:p>
    <w:p>
      <w:pPr>
        <w:pStyle w:val="Heading1"/>
      </w:pPr>
      <w:r>
        <w:t>Summary Statement</w:t>
      </w:r>
    </w:p>
    <w:p>
      <w:r>
        <w:t>BlueRiver Retail Group generated $842.0 million in revenue and $51.4 million in net income during FY2025 ended December 31, 2025. Operating expenses were $255.8 million and operating margin was 8.8%.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BlueRiver Retail Group FY2025 Board Memo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