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A2EC19">
      <w:pPr>
        <w:spacing w:before="560" w:after="80"/>
      </w:pPr>
      <w:r>
        <w:rPr>
          <w:rFonts w:ascii="STHeiti" w:hAnsi="STHeiti" w:eastAsia="STHeiti"/>
          <w:b/>
          <w:color w:val="C00000"/>
          <w:sz w:val="18"/>
        </w:rPr>
        <w:t>PRD / 需求文档</w:t>
      </w:r>
    </w:p>
    <w:p w14:paraId="20105FA7">
      <w:pPr>
        <w:pBdr>
          <w:bottom w:val="single" w:color="152A8C" w:sz="14" w:space="7"/>
        </w:pBdr>
        <w:spacing w:after="120"/>
      </w:pPr>
      <w:r>
        <w:rPr>
          <w:rFonts w:ascii="STHeiti" w:hAnsi="STHeiti" w:eastAsia="STHeiti"/>
          <w:b/>
          <w:color w:val="152A8C"/>
          <w:sz w:val="48"/>
        </w:rPr>
        <w:t>参股公司信息管理历史沿革需求说明</w:t>
      </w:r>
    </w:p>
    <w:p w14:paraId="37CE866E">
      <w:pPr>
        <w:spacing w:after="360"/>
      </w:pPr>
      <w:r>
        <w:rPr>
          <w:rFonts w:ascii="STHeiti" w:hAnsi="STHeiti" w:eastAsia="STHeiti"/>
          <w:color w:val="667085"/>
          <w:sz w:val="24"/>
        </w:rPr>
        <w:t>需求变更与页面说明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257"/>
      </w:tblGrid>
      <w:tr w14:paraId="606C8844">
        <w:tc>
          <w:tcPr>
            <w:tcW w:w="4873" w:type="dxa"/>
            <w:shd w:val="clear" w:color="auto" w:fill="EAF0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977E2">
            <w:r>
              <w:rPr>
                <w:rFonts w:ascii="STHeiti" w:hAnsi="STHeiti" w:eastAsia="STHeiti"/>
                <w:b/>
                <w:color w:val="152A8C"/>
                <w:sz w:val="18"/>
              </w:rPr>
              <w:t>文档类型</w:t>
            </w:r>
          </w:p>
        </w:tc>
        <w:tc>
          <w:tcPr>
            <w:tcW w:w="4873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95AF8">
            <w:r>
              <w:rPr>
                <w:rFonts w:ascii="STHeiti" w:hAnsi="STHeiti" w:eastAsia="STHeiti"/>
                <w:color w:val="344054"/>
                <w:sz w:val="19"/>
              </w:rPr>
              <w:t>产品需求文档</w:t>
            </w:r>
          </w:p>
        </w:tc>
      </w:tr>
      <w:tr w14:paraId="62F92501">
        <w:tc>
          <w:tcPr>
            <w:tcW w:w="4873" w:type="dxa"/>
            <w:shd w:val="clear" w:color="auto" w:fill="EAF0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523408">
            <w:r>
              <w:rPr>
                <w:rFonts w:ascii="STHeiti" w:hAnsi="STHeiti" w:eastAsia="STHeiti"/>
                <w:b/>
                <w:color w:val="152A8C"/>
                <w:sz w:val="18"/>
              </w:rPr>
              <w:t>功能模块</w:t>
            </w:r>
          </w:p>
        </w:tc>
        <w:tc>
          <w:tcPr>
            <w:tcW w:w="4873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E0AAA">
            <w:r>
              <w:rPr>
                <w:rFonts w:ascii="STHeiti" w:hAnsi="STHeiti" w:eastAsia="STHeiti"/>
                <w:color w:val="344054"/>
                <w:sz w:val="19"/>
              </w:rPr>
              <w:t>参股公司信息管理</w:t>
            </w:r>
          </w:p>
        </w:tc>
      </w:tr>
      <w:tr w14:paraId="5D125640">
        <w:tc>
          <w:tcPr>
            <w:tcW w:w="4873" w:type="dxa"/>
            <w:shd w:val="clear" w:color="auto" w:fill="EAF0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CA90E">
            <w:r>
              <w:rPr>
                <w:rFonts w:ascii="STHeiti" w:hAnsi="STHeiti" w:eastAsia="STHeiti"/>
                <w:b/>
                <w:color w:val="152A8C"/>
                <w:sz w:val="18"/>
              </w:rPr>
              <w:t>需求日期</w:t>
            </w:r>
          </w:p>
        </w:tc>
        <w:tc>
          <w:tcPr>
            <w:tcW w:w="4873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7A5F84">
            <w:r>
              <w:rPr>
                <w:rFonts w:ascii="STHeiti" w:hAnsi="STHeiti" w:eastAsia="STHeiti"/>
                <w:color w:val="344054"/>
                <w:sz w:val="19"/>
              </w:rPr>
              <w:t>2026年9月8日</w:t>
            </w:r>
          </w:p>
        </w:tc>
      </w:tr>
    </w:tbl>
    <w:p w14:paraId="2C00F4C2"/>
    <w:p w14:paraId="156E2D38">
      <w:pPr>
        <w:pStyle w:val="3"/>
        <w:pBdr>
          <w:bottom w:val="single" w:color="152A8C" w:sz="8" w:space="4"/>
        </w:pBdr>
      </w:pPr>
      <w:r>
        <w:t>一 需求背景</w:t>
      </w:r>
    </w:p>
    <w:p w14:paraId="79367F5A">
      <w:r>
        <w:rPr>
          <w:rFonts w:ascii="STHeiti" w:hAnsi="STHeiti" w:eastAsia="STHeiti"/>
          <w:color w:val="344054"/>
          <w:sz w:val="21"/>
        </w:rPr>
        <w:t>在参股公司基础信息详情页面新增“历史沿革”页签，用于维护和展示企业基础简介及发展过程中的里程碑事件。编辑模式支持录入基础简介、年月和事件内容；详情模式以清晰的时间轴展示已维护内容。</w:t>
      </w:r>
    </w:p>
    <w:p w14:paraId="4219EAEA">
      <w:pPr>
        <w:pStyle w:val="3"/>
        <w:pBdr>
          <w:bottom w:val="single" w:color="152A8C" w:sz="8" w:space="4"/>
        </w:pBdr>
      </w:pPr>
      <w:r>
        <w:t>二 需求变更</w:t>
      </w:r>
    </w:p>
    <w:p w14:paraId="1E417C53">
      <w:pPr>
        <w:pStyle w:val="4"/>
      </w:pPr>
      <w:r>
        <w:t>2.1 新增历史沿革页签</w:t>
      </w:r>
    </w:p>
    <w:p w14:paraId="6BAE8085">
      <w:pPr>
        <w:pStyle w:val="16"/>
      </w:pPr>
      <w:r>
        <w:rPr>
          <w:rFonts w:ascii="STHeiti" w:hAnsi="STHeiti" w:eastAsia="STHeiti"/>
          <w:color w:val="344054"/>
          <w:sz w:val="21"/>
        </w:rPr>
        <w:t>在参股公司基础信息页面现有页签区域新增“历史沿革”页签。</w:t>
      </w:r>
    </w:p>
    <w:p w14:paraId="58A6B54B">
      <w:pPr>
        <w:pStyle w:val="16"/>
      </w:pPr>
      <w:r>
        <w:rPr>
          <w:rFonts w:ascii="STHeiti" w:hAnsi="STHeiti" w:eastAsia="STHeiti"/>
          <w:color w:val="344054"/>
          <w:sz w:val="21"/>
        </w:rPr>
        <w:t>页面内容分为“基础简介”和“里程碑事件”两部分。</w:t>
      </w:r>
    </w:p>
    <w:p w14:paraId="4865B6C1">
      <w:pPr>
        <w:pStyle w:val="16"/>
      </w:pPr>
      <w:r>
        <w:rPr>
          <w:rFonts w:ascii="STHeiti" w:hAnsi="STHeiti" w:eastAsia="STHeiti"/>
          <w:color w:val="344054"/>
          <w:sz w:val="21"/>
        </w:rPr>
        <w:t>页面区分编辑模式和详情模式。</w:t>
      </w:r>
    </w:p>
    <w:p w14:paraId="77210443">
      <w:pPr>
        <w:pStyle w:val="4"/>
      </w:pPr>
      <w:r>
        <w:t>2.2 基础简介</w:t>
      </w:r>
    </w:p>
    <w:p w14:paraId="40013DAA">
      <w:r>
        <w:rPr>
          <w:rFonts w:ascii="STHeiti" w:hAnsi="STHeiti" w:eastAsia="STHeiti"/>
          <w:color w:val="344054"/>
          <w:sz w:val="21"/>
        </w:rPr>
        <w:t>编辑模式：</w:t>
      </w:r>
    </w:p>
    <w:p w14:paraId="7B811F33">
      <w:pPr>
        <w:pStyle w:val="16"/>
      </w:pPr>
      <w:r>
        <w:rPr>
          <w:rFonts w:ascii="STHeiti" w:hAnsi="STHeiti" w:eastAsia="STHeiti"/>
          <w:color w:val="344054"/>
          <w:sz w:val="21"/>
        </w:rPr>
        <w:t>展示多行文本输入框。</w:t>
      </w:r>
    </w:p>
    <w:p w14:paraId="2762547E">
      <w:pPr>
        <w:pStyle w:val="16"/>
      </w:pPr>
      <w:r>
        <w:rPr>
          <w:rFonts w:ascii="STHeiti" w:hAnsi="STHeiti" w:eastAsia="STHeiti"/>
          <w:color w:val="344054"/>
          <w:sz w:val="21"/>
        </w:rPr>
        <w:t>用户可输入企业基础简介，内容用于概述企业发展历程及业务演变。</w:t>
      </w:r>
    </w:p>
    <w:p w14:paraId="4FFDDCBC">
      <w:r>
        <w:rPr>
          <w:rFonts w:ascii="STHeiti" w:hAnsi="STHeiti" w:eastAsia="STHeiti"/>
          <w:color w:val="344054"/>
          <w:sz w:val="21"/>
        </w:rPr>
        <w:t>详情模式：</w:t>
      </w:r>
    </w:p>
    <w:p w14:paraId="398516DF">
      <w:pPr>
        <w:pStyle w:val="16"/>
      </w:pPr>
      <w:r>
        <w:rPr>
          <w:rFonts w:ascii="STHeiti" w:hAnsi="STHeiti" w:eastAsia="STHeiti"/>
          <w:color w:val="344054"/>
          <w:sz w:val="21"/>
        </w:rPr>
        <w:t>只读展示已录入的基础简介。</w:t>
      </w:r>
    </w:p>
    <w:p w14:paraId="74F7AEC5">
      <w:pPr>
        <w:pStyle w:val="16"/>
      </w:pPr>
      <w:r>
        <w:rPr>
          <w:rFonts w:ascii="STHeiti" w:hAnsi="STHeiti" w:eastAsia="STHeiti"/>
          <w:color w:val="344054"/>
          <w:sz w:val="21"/>
        </w:rPr>
        <w:t>未录入时显示“暂无基础简介”。</w:t>
      </w:r>
    </w:p>
    <w:p w14:paraId="34EFA371">
      <w:pPr>
        <w:pStyle w:val="4"/>
      </w:pPr>
      <w:r>
        <w:t>2.3 里程碑事件编辑</w:t>
      </w:r>
    </w:p>
    <w:p w14:paraId="152E5970">
      <w:pPr>
        <w:pStyle w:val="16"/>
      </w:pPr>
      <w:r>
        <w:rPr>
          <w:rFonts w:ascii="STHeiti" w:hAnsi="STHeiti" w:eastAsia="STHeiti"/>
          <w:color w:val="344054"/>
          <w:sz w:val="21"/>
        </w:rPr>
        <w:t>里程碑事件以纵向时间轴形式排列，每个时间轴节点对应一条里程碑事件。</w:t>
      </w:r>
    </w:p>
    <w:p w14:paraId="51E9873E">
      <w:pPr>
        <w:pStyle w:val="16"/>
      </w:pPr>
      <w:r>
        <w:rPr>
          <w:rFonts w:ascii="STHeiti" w:hAnsi="STHeiti" w:eastAsia="STHeiti"/>
          <w:color w:val="344054"/>
          <w:sz w:val="21"/>
        </w:rPr>
        <w:t>每条记录包含年份、月份和里程碑事件三个字段。</w:t>
      </w:r>
    </w:p>
    <w:p w14:paraId="32402A18">
      <w:pPr>
        <w:pStyle w:val="16"/>
      </w:pPr>
      <w:r>
        <w:rPr>
          <w:rFonts w:ascii="STHeiti" w:hAnsi="STHeiti" w:eastAsia="STHeiti"/>
          <w:color w:val="344054"/>
          <w:sz w:val="21"/>
        </w:rPr>
        <w:t>年份必填，输入四位整数年份。</w:t>
      </w:r>
    </w:p>
    <w:p w14:paraId="5EF5545A">
      <w:pPr>
        <w:pStyle w:val="16"/>
      </w:pPr>
      <w:r>
        <w:rPr>
          <w:rFonts w:ascii="STHeiti" w:hAnsi="STHeiti" w:eastAsia="STHeiti"/>
          <w:color w:val="344054"/>
          <w:sz w:val="21"/>
        </w:rPr>
        <w:t>月份选填，输入范围为1至12。</w:t>
      </w:r>
    </w:p>
    <w:p w14:paraId="1E56DA7B">
      <w:pPr>
        <w:pStyle w:val="16"/>
      </w:pPr>
      <w:r>
        <w:rPr>
          <w:rFonts w:ascii="STHeiti" w:hAnsi="STHeiti" w:eastAsia="STHeiti"/>
          <w:color w:val="344054"/>
          <w:sz w:val="21"/>
        </w:rPr>
        <w:t>里程碑事件必填，使用多行文本输入框。</w:t>
      </w:r>
    </w:p>
    <w:p w14:paraId="48F45403">
      <w:pPr>
        <w:pStyle w:val="16"/>
      </w:pPr>
      <w:r>
        <w:rPr>
          <w:rFonts w:ascii="STHeiti" w:hAnsi="STHeiti" w:eastAsia="STHeiti"/>
          <w:color w:val="344054"/>
          <w:sz w:val="21"/>
        </w:rPr>
        <w:t>用户可以新增里程碑事件。</w:t>
      </w:r>
    </w:p>
    <w:p w14:paraId="502A726E">
      <w:pPr>
        <w:pStyle w:val="16"/>
      </w:pPr>
      <w:r>
        <w:rPr>
          <w:rFonts w:ascii="STHeiti" w:hAnsi="STHeiti" w:eastAsia="STHeiti"/>
          <w:color w:val="344054"/>
          <w:sz w:val="21"/>
        </w:rPr>
        <w:t>用户可以删除单条里程碑事件。</w:t>
      </w:r>
    </w:p>
    <w:p w14:paraId="6919D711">
      <w:pPr>
        <w:pStyle w:val="16"/>
      </w:pPr>
      <w:r>
        <w:rPr>
          <w:rFonts w:ascii="STHeiti" w:hAnsi="STHeiti" w:eastAsia="STHeiti"/>
          <w:color w:val="344054"/>
          <w:sz w:val="21"/>
        </w:rPr>
        <w:t>页面显示当前里程碑事件数量。</w:t>
      </w:r>
    </w:p>
    <w:p w14:paraId="267896DE">
      <w:pPr>
        <w:pStyle w:val="16"/>
      </w:pPr>
      <w:r>
        <w:rPr>
          <w:rFonts w:ascii="STHeiti" w:hAnsi="STHeiti" w:eastAsia="STHeiti"/>
          <w:color w:val="344054"/>
          <w:sz w:val="21"/>
        </w:rPr>
        <w:t>编辑模式支持预览详情，预览时按照详情模式展示当前已录入内容。</w:t>
      </w:r>
    </w:p>
    <w:p w14:paraId="791D57C7">
      <w:pPr>
        <w:pStyle w:val="4"/>
      </w:pPr>
      <w:r>
        <w:t>2.4 年月与事件文本联动</w:t>
      </w:r>
    </w:p>
    <w:p w14:paraId="438DB059">
      <w:pPr>
        <w:pStyle w:val="16"/>
      </w:pPr>
      <w:r>
        <w:rPr>
          <w:rFonts w:ascii="STHeiti" w:hAnsi="STHeiti" w:eastAsia="STHeiti"/>
          <w:color w:val="344054"/>
          <w:sz w:val="21"/>
        </w:rPr>
        <w:t>用户输入有效年份后，系统自动在里程碑事件文本开头生成“YYYY年，”，光标后续位置供用户补充事件内容。</w:t>
      </w:r>
    </w:p>
    <w:p w14:paraId="5EA97336">
      <w:pPr>
        <w:pStyle w:val="16"/>
      </w:pPr>
      <w:r>
        <w:rPr>
          <w:rFonts w:ascii="STHeiti" w:hAnsi="STHeiti" w:eastAsia="STHeiti"/>
          <w:color w:val="344054"/>
          <w:sz w:val="21"/>
        </w:rPr>
        <w:t>用户同时输入有效年份和月份后，系统自动在里程碑事件文本开头生成“YYYY年M月，”，光标后续位置供用户补充事件内容。</w:t>
      </w:r>
    </w:p>
    <w:p w14:paraId="2D34CB5B">
      <w:pPr>
        <w:pStyle w:val="16"/>
      </w:pPr>
      <w:r>
        <w:rPr>
          <w:rFonts w:ascii="STHeiti" w:hAnsi="STHeiti" w:eastAsia="STHeiti"/>
          <w:color w:val="344054"/>
          <w:sz w:val="21"/>
        </w:rPr>
        <w:t>用户修改年份或月份时，系统同步更新事件文本开头的年月，并保留用户已经补充的事件正文。</w:t>
      </w:r>
    </w:p>
    <w:p w14:paraId="45CA08E6">
      <w:pPr>
        <w:pStyle w:val="16"/>
      </w:pPr>
      <w:r>
        <w:rPr>
          <w:rFonts w:ascii="STHeiti" w:hAnsi="STHeiti" w:eastAsia="STHeiti"/>
          <w:color w:val="344054"/>
          <w:sz w:val="21"/>
        </w:rPr>
        <w:t>用户清空月份时，事件文本开头同步调整为“YYYY年，”。</w:t>
      </w:r>
    </w:p>
    <w:p w14:paraId="3ACC9169">
      <w:pPr>
        <w:pStyle w:val="16"/>
      </w:pPr>
      <w:r>
        <w:rPr>
          <w:rFonts w:ascii="STHeiti" w:hAnsi="STHeiti" w:eastAsia="STHeiti"/>
          <w:color w:val="344054"/>
          <w:sz w:val="21"/>
        </w:rPr>
        <w:t>年份或月份未通过格式校验时，不生成新的年月前缀。</w:t>
      </w:r>
    </w:p>
    <w:p w14:paraId="13DE5A3D">
      <w:pPr>
        <w:pStyle w:val="16"/>
      </w:pPr>
      <w:r>
        <w:rPr>
          <w:rFonts w:ascii="STHeiti" w:hAnsi="STHeiti" w:eastAsia="STHeiti"/>
          <w:color w:val="344054"/>
          <w:sz w:val="21"/>
        </w:rPr>
        <w:t>仅同步事件文本开头的年月，正文中出现的其他日期不受影响。</w:t>
      </w:r>
    </w:p>
    <w:p w14:paraId="7AFB8A98">
      <w:pPr>
        <w:pStyle w:val="4"/>
      </w:pPr>
      <w:r>
        <w:t>2.5 里程碑事件详情</w:t>
      </w:r>
    </w:p>
    <w:p w14:paraId="405D6015">
      <w:pPr>
        <w:pStyle w:val="16"/>
      </w:pPr>
      <w:r>
        <w:rPr>
          <w:rFonts w:ascii="STHeiti" w:hAnsi="STHeiti" w:eastAsia="STHeiti"/>
          <w:color w:val="344054"/>
          <w:sz w:val="21"/>
        </w:rPr>
        <w:t>详情模式只读展示里程碑事件。</w:t>
      </w:r>
    </w:p>
    <w:p w14:paraId="56516832">
      <w:pPr>
        <w:pStyle w:val="16"/>
      </w:pPr>
      <w:r>
        <w:rPr>
          <w:rFonts w:ascii="STHeiti" w:hAnsi="STHeiti" w:eastAsia="STHeiti"/>
          <w:color w:val="344054"/>
          <w:sz w:val="21"/>
        </w:rPr>
        <w:t>事件按年份、月份升序排列。</w:t>
      </w:r>
    </w:p>
    <w:p w14:paraId="3D679C90">
      <w:pPr>
        <w:pStyle w:val="16"/>
      </w:pPr>
      <w:r>
        <w:rPr>
          <w:rFonts w:ascii="STHeiti" w:hAnsi="STHeiti" w:eastAsia="STHeiti"/>
          <w:color w:val="344054"/>
          <w:sz w:val="21"/>
        </w:rPr>
        <w:t>左侧展示年份及可选月份，中间使用节点和连线构成纵向时间轴，右侧展示事件正文。</w:t>
      </w:r>
    </w:p>
    <w:p w14:paraId="73940B56">
      <w:pPr>
        <w:pStyle w:val="16"/>
      </w:pPr>
      <w:r>
        <w:rPr>
          <w:rFonts w:ascii="STHeiti" w:hAnsi="STHeiti" w:eastAsia="STHeiti"/>
          <w:color w:val="344054"/>
          <w:sz w:val="21"/>
        </w:rPr>
        <w:t>只填写年份时显示“YYYY年”；填写月份时显示“YYYY年M月”。</w:t>
      </w:r>
    </w:p>
    <w:p w14:paraId="76957961">
      <w:pPr>
        <w:pStyle w:val="16"/>
      </w:pPr>
      <w:r>
        <w:rPr>
          <w:rFonts w:ascii="STHeiti" w:hAnsi="STHeiti" w:eastAsia="STHeiti"/>
          <w:color w:val="344054"/>
          <w:sz w:val="21"/>
        </w:rPr>
        <w:t>无里程碑事件时显示“暂无里程碑事件”。</w:t>
      </w:r>
    </w:p>
    <w:p w14:paraId="526F51D3">
      <w:pPr>
        <w:pStyle w:val="3"/>
        <w:pBdr>
          <w:bottom w:val="single" w:color="152A8C" w:sz="8" w:space="4"/>
        </w:pBdr>
      </w:pPr>
      <w:r>
        <w:t>三 字段规则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4"/>
        <w:gridCol w:w="1624"/>
        <w:gridCol w:w="1624"/>
        <w:gridCol w:w="1624"/>
        <w:gridCol w:w="1624"/>
        <w:gridCol w:w="1624"/>
      </w:tblGrid>
      <w:tr w14:paraId="649F19FF">
        <w:trPr>
          <w:tblHeader/>
          <w:jc w:val="center"/>
        </w:trPr>
        <w:tc>
          <w:tcPr>
            <w:tcW w:w="1624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67522D">
            <w:r>
              <w:rPr>
                <w:rFonts w:ascii="STHeiti" w:hAnsi="STHeiti" w:eastAsia="STHeiti"/>
                <w:b/>
                <w:color w:val="FFFFFF"/>
                <w:sz w:val="18"/>
              </w:rPr>
              <w:t>序号</w:t>
            </w:r>
          </w:p>
        </w:tc>
        <w:tc>
          <w:tcPr>
            <w:tcW w:w="1624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B8642B">
            <w:r>
              <w:rPr>
                <w:rFonts w:ascii="STHeiti" w:hAnsi="STHeiti" w:eastAsia="STHeiti"/>
                <w:b/>
                <w:color w:val="FFFFFF"/>
                <w:sz w:val="18"/>
              </w:rPr>
              <w:t>区域</w:t>
            </w:r>
          </w:p>
        </w:tc>
        <w:tc>
          <w:tcPr>
            <w:tcW w:w="1624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0951CD">
            <w:r>
              <w:rPr>
                <w:rFonts w:ascii="STHeiti" w:hAnsi="STHeiti" w:eastAsia="STHeiti"/>
                <w:b/>
                <w:color w:val="FFFFFF"/>
                <w:sz w:val="18"/>
              </w:rPr>
              <w:t>字段</w:t>
            </w:r>
          </w:p>
        </w:tc>
        <w:tc>
          <w:tcPr>
            <w:tcW w:w="1624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40E2EA">
            <w:r>
              <w:rPr>
                <w:rFonts w:ascii="STHeiti" w:hAnsi="STHeiti" w:eastAsia="STHeiti"/>
                <w:b/>
                <w:color w:val="FFFFFF"/>
                <w:sz w:val="18"/>
              </w:rPr>
              <w:t>控件</w:t>
            </w:r>
          </w:p>
        </w:tc>
        <w:tc>
          <w:tcPr>
            <w:tcW w:w="1624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2BD5EB">
            <w:r>
              <w:rPr>
                <w:rFonts w:ascii="STHeiti" w:hAnsi="STHeiti" w:eastAsia="STHeiti"/>
                <w:b/>
                <w:color w:val="FFFFFF"/>
                <w:sz w:val="18"/>
              </w:rPr>
              <w:t>是否必填</w:t>
            </w:r>
          </w:p>
        </w:tc>
        <w:tc>
          <w:tcPr>
            <w:tcW w:w="1624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787BCA">
            <w:r>
              <w:rPr>
                <w:rFonts w:ascii="STHeiti" w:hAnsi="STHeiti" w:eastAsia="STHeiti"/>
                <w:b/>
                <w:color w:val="FFFFFF"/>
                <w:sz w:val="18"/>
              </w:rPr>
              <w:t>规则</w:t>
            </w:r>
          </w:p>
        </w:tc>
      </w:tr>
      <w:tr w14:paraId="131518A6">
        <w:trPr>
          <w:jc w:val="center"/>
        </w:trPr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2D3C86A">
            <w:r>
              <w:rPr>
                <w:rFonts w:ascii="STHeiti" w:hAnsi="STHeiti" w:eastAsia="STHeiti"/>
                <w:color w:val="344054"/>
                <w:sz w:val="18"/>
              </w:rPr>
              <w:t>1</w:t>
            </w:r>
          </w:p>
        </w:tc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6C9EDB2">
            <w:r>
              <w:rPr>
                <w:rFonts w:ascii="STHeiti" w:hAnsi="STHeiti" w:eastAsia="STHeiti"/>
                <w:color w:val="344054"/>
                <w:sz w:val="18"/>
              </w:rPr>
              <w:t>基础简介</w:t>
            </w:r>
          </w:p>
        </w:tc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4334FC7">
            <w:r>
              <w:rPr>
                <w:rFonts w:ascii="STHeiti" w:hAnsi="STHeiti" w:eastAsia="STHeiti"/>
                <w:color w:val="344054"/>
                <w:sz w:val="18"/>
              </w:rPr>
              <w:t>基础简介</w:t>
            </w:r>
          </w:p>
        </w:tc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F9E87DC">
            <w:r>
              <w:rPr>
                <w:rFonts w:ascii="STHeiti" w:hAnsi="STHeiti" w:eastAsia="STHeiti"/>
                <w:color w:val="344054"/>
                <w:sz w:val="18"/>
              </w:rPr>
              <w:t>多行文本框</w:t>
            </w:r>
          </w:p>
        </w:tc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9351DF8">
            <w:r>
              <w:rPr>
                <w:rFonts w:ascii="STHeiti" w:hAnsi="STHeiti" w:eastAsia="STHeiti"/>
                <w:color w:val="344054"/>
                <w:sz w:val="18"/>
              </w:rPr>
              <w:t>否</w:t>
            </w:r>
          </w:p>
        </w:tc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A06ECD8">
            <w:r>
              <w:rPr>
                <w:rFonts w:ascii="STHeiti" w:hAnsi="STHeiti" w:eastAsia="STHeiti"/>
                <w:color w:val="344054"/>
                <w:sz w:val="18"/>
              </w:rPr>
              <w:t>支持多行文本录入与只读展示</w:t>
            </w:r>
          </w:p>
        </w:tc>
      </w:tr>
      <w:tr w14:paraId="36FE607B">
        <w:trPr>
          <w:jc w:val="center"/>
        </w:trPr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7D8F88F">
            <w:r>
              <w:rPr>
                <w:rFonts w:ascii="STHeiti" w:hAnsi="STHeiti" w:eastAsia="STHeiti"/>
                <w:color w:val="344054"/>
                <w:sz w:val="18"/>
              </w:rPr>
              <w:t>2</w:t>
            </w:r>
          </w:p>
        </w:tc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DF5CB69">
            <w:r>
              <w:rPr>
                <w:rFonts w:ascii="STHeiti" w:hAnsi="STHeiti" w:eastAsia="STHeiti"/>
                <w:color w:val="344054"/>
                <w:sz w:val="18"/>
              </w:rPr>
              <w:t>里程碑事件</w:t>
            </w:r>
          </w:p>
        </w:tc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87A05CC">
            <w:r>
              <w:rPr>
                <w:rFonts w:ascii="STHeiti" w:hAnsi="STHeiti" w:eastAsia="STHeiti"/>
                <w:color w:val="344054"/>
                <w:sz w:val="18"/>
              </w:rPr>
              <w:t>年份</w:t>
            </w:r>
          </w:p>
        </w:tc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A581E54">
            <w:r>
              <w:rPr>
                <w:rFonts w:ascii="STHeiti" w:hAnsi="STHeiti" w:eastAsia="STHeiti"/>
                <w:color w:val="344054"/>
                <w:sz w:val="18"/>
              </w:rPr>
              <w:t>数字输入框</w:t>
            </w:r>
          </w:p>
        </w:tc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5CC2EEC">
            <w:r>
              <w:rPr>
                <w:rFonts w:ascii="STHeiti" w:hAnsi="STHeiti" w:eastAsia="STHeiti"/>
                <w:color w:val="344054"/>
                <w:sz w:val="18"/>
              </w:rPr>
              <w:t>是</w:t>
            </w:r>
          </w:p>
        </w:tc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3422F56">
            <w:r>
              <w:rPr>
                <w:rFonts w:ascii="STHeiti" w:hAnsi="STHeiti" w:eastAsia="STHeiti"/>
                <w:color w:val="344054"/>
                <w:sz w:val="18"/>
              </w:rPr>
              <w:t>四位整数年份</w:t>
            </w:r>
          </w:p>
        </w:tc>
      </w:tr>
      <w:tr w14:paraId="2FDCC972">
        <w:trPr>
          <w:jc w:val="center"/>
        </w:trPr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407EC38">
            <w:r>
              <w:rPr>
                <w:rFonts w:ascii="STHeiti" w:hAnsi="STHeiti" w:eastAsia="STHeiti"/>
                <w:color w:val="344054"/>
                <w:sz w:val="18"/>
              </w:rPr>
              <w:t>3</w:t>
            </w:r>
          </w:p>
        </w:tc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4BFAA5C">
            <w:r>
              <w:rPr>
                <w:rFonts w:ascii="STHeiti" w:hAnsi="STHeiti" w:eastAsia="STHeiti"/>
                <w:color w:val="344054"/>
                <w:sz w:val="18"/>
              </w:rPr>
              <w:t>里程碑事件</w:t>
            </w:r>
          </w:p>
        </w:tc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D616C8A">
            <w:r>
              <w:rPr>
                <w:rFonts w:ascii="STHeiti" w:hAnsi="STHeiti" w:eastAsia="STHeiti"/>
                <w:color w:val="344054"/>
                <w:sz w:val="18"/>
              </w:rPr>
              <w:t>月份</w:t>
            </w:r>
          </w:p>
        </w:tc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48BBCD4">
            <w:r>
              <w:rPr>
                <w:rFonts w:ascii="STHeiti" w:hAnsi="STHeiti" w:eastAsia="STHeiti"/>
                <w:color w:val="344054"/>
                <w:sz w:val="18"/>
              </w:rPr>
              <w:t>数字输入框</w:t>
            </w:r>
          </w:p>
        </w:tc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C37B925">
            <w:r>
              <w:rPr>
                <w:rFonts w:ascii="STHeiti" w:hAnsi="STHeiti" w:eastAsia="STHeiti"/>
                <w:color w:val="344054"/>
                <w:sz w:val="18"/>
              </w:rPr>
              <w:t>否</w:t>
            </w:r>
          </w:p>
        </w:tc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094A34A">
            <w:r>
              <w:rPr>
                <w:rFonts w:ascii="STHeiti" w:hAnsi="STHeiti" w:eastAsia="STHeiti"/>
                <w:color w:val="344054"/>
                <w:sz w:val="18"/>
              </w:rPr>
              <w:t>1至12的整数</w:t>
            </w:r>
          </w:p>
        </w:tc>
      </w:tr>
      <w:tr w14:paraId="49939994">
        <w:trPr>
          <w:jc w:val="center"/>
        </w:trPr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88C608C">
            <w:r>
              <w:rPr>
                <w:rFonts w:ascii="STHeiti" w:hAnsi="STHeiti" w:eastAsia="STHeiti"/>
                <w:color w:val="344054"/>
                <w:sz w:val="18"/>
              </w:rPr>
              <w:t>4</w:t>
            </w:r>
          </w:p>
        </w:tc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B09F202">
            <w:r>
              <w:rPr>
                <w:rFonts w:ascii="STHeiti" w:hAnsi="STHeiti" w:eastAsia="STHeiti"/>
                <w:color w:val="344054"/>
                <w:sz w:val="18"/>
              </w:rPr>
              <w:t>里程碑事件</w:t>
            </w:r>
          </w:p>
        </w:tc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D0EA7D1">
            <w:r>
              <w:rPr>
                <w:rFonts w:ascii="STHeiti" w:hAnsi="STHeiti" w:eastAsia="STHeiti"/>
                <w:color w:val="344054"/>
                <w:sz w:val="18"/>
              </w:rPr>
              <w:t>里程碑事件</w:t>
            </w:r>
          </w:p>
        </w:tc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0A87B05">
            <w:r>
              <w:rPr>
                <w:rFonts w:ascii="STHeiti" w:hAnsi="STHeiti" w:eastAsia="STHeiti"/>
                <w:color w:val="344054"/>
                <w:sz w:val="18"/>
              </w:rPr>
              <w:t>多行文本框</w:t>
            </w:r>
          </w:p>
        </w:tc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CC60460">
            <w:r>
              <w:rPr>
                <w:rFonts w:ascii="STHeiti" w:hAnsi="STHeiti" w:eastAsia="STHeiti"/>
                <w:color w:val="344054"/>
                <w:sz w:val="18"/>
              </w:rPr>
              <w:t>是</w:t>
            </w:r>
          </w:p>
        </w:tc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3D1FEAC">
            <w:r>
              <w:rPr>
                <w:rFonts w:ascii="STHeiti" w:hAnsi="STHeiti" w:eastAsia="STHeiti"/>
                <w:color w:val="344054"/>
                <w:sz w:val="18"/>
              </w:rPr>
              <w:t>自动带入年月前缀，用户补充具体事件内容</w:t>
            </w:r>
          </w:p>
        </w:tc>
      </w:tr>
    </w:tbl>
    <w:p w14:paraId="5F06EFDD"/>
    <w:p w14:paraId="634397C6">
      <w:pPr>
        <w:pStyle w:val="3"/>
        <w:pBdr>
          <w:bottom w:val="single" w:color="152A8C" w:sz="8" w:space="4"/>
        </w:pBdr>
      </w:pPr>
      <w:r>
        <w:t>四 示例数据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7B0D3BC7">
        <w:trPr>
          <w:tblHeader/>
          <w:jc w:val="center"/>
        </w:trPr>
        <w:tc>
          <w:tcPr>
            <w:tcW w:w="4873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36F2A8">
            <w:r>
              <w:rPr>
                <w:rFonts w:ascii="STHeiti" w:hAnsi="STHeiti" w:eastAsia="STHeiti"/>
                <w:b/>
                <w:color w:val="FFFFFF"/>
                <w:sz w:val="18"/>
              </w:rPr>
              <w:t>年月</w:t>
            </w:r>
          </w:p>
        </w:tc>
        <w:tc>
          <w:tcPr>
            <w:tcW w:w="4873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D9B1A2">
            <w:r>
              <w:rPr>
                <w:rFonts w:ascii="STHeiti" w:hAnsi="STHeiti" w:eastAsia="STHeiti"/>
                <w:b/>
                <w:color w:val="FFFFFF"/>
                <w:sz w:val="18"/>
              </w:rPr>
              <w:t>里程碑事件</w:t>
            </w:r>
          </w:p>
        </w:tc>
      </w:tr>
      <w:tr w14:paraId="6B53ADB6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73E0A30">
            <w:r>
              <w:rPr>
                <w:rFonts w:ascii="STHeiti" w:hAnsi="STHeiti" w:eastAsia="STHeiti"/>
                <w:color w:val="344054"/>
                <w:sz w:val="18"/>
              </w:rPr>
              <w:t>1997年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321045B">
            <w:r>
              <w:rPr>
                <w:rFonts w:ascii="STHeiti" w:hAnsi="STHeiti" w:eastAsia="STHeiti"/>
                <w:color w:val="344054"/>
                <w:sz w:val="18"/>
              </w:rPr>
              <w:t>经国家体改委批准，以一汽东光离合器厂为改组主体整体改制，采用募集方式设立股份公司；</w:t>
            </w:r>
          </w:p>
        </w:tc>
      </w:tr>
      <w:tr w14:paraId="5AB84F03">
        <w:trPr>
          <w:jc w:val="center"/>
        </w:trPr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D2F5015">
            <w:r>
              <w:rPr>
                <w:rFonts w:ascii="STHeiti" w:hAnsi="STHeiti" w:eastAsia="STHeiti"/>
                <w:color w:val="344054"/>
                <w:sz w:val="18"/>
              </w:rPr>
              <w:t>1998年5月</w:t>
            </w:r>
          </w:p>
        </w:tc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E0E3144">
            <w:r>
              <w:rPr>
                <w:rFonts w:ascii="STHeiti" w:hAnsi="STHeiti" w:eastAsia="STHeiti"/>
                <w:color w:val="344054"/>
                <w:sz w:val="18"/>
              </w:rPr>
              <w:t>召开创立大会，5月7日完成工商注册，5月20日在上交所上市，上市初期吉林东光持股44.80%，中国一汽持股28.47%；</w:t>
            </w:r>
          </w:p>
        </w:tc>
      </w:tr>
      <w:tr w14:paraId="37D726FA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533FE08">
            <w:r>
              <w:rPr>
                <w:rFonts w:ascii="STHeiti" w:hAnsi="STHeiti" w:eastAsia="STHeiti"/>
                <w:color w:val="344054"/>
                <w:sz w:val="18"/>
              </w:rPr>
              <w:t>2001年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1617DAF">
            <w:r>
              <w:rPr>
                <w:rFonts w:ascii="STHeiti" w:hAnsi="STHeiti" w:eastAsia="STHeiti"/>
                <w:color w:val="344054"/>
                <w:sz w:val="18"/>
              </w:rPr>
              <w:t>长春一东完成配股，总股本增值1415.2万股，该股本延续至今，本次配股后吉林东光持股43%，中国一汽持股27.32%；</w:t>
            </w:r>
          </w:p>
        </w:tc>
      </w:tr>
      <w:tr w14:paraId="04B82608">
        <w:trPr>
          <w:jc w:val="center"/>
        </w:trPr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9E1E978">
            <w:r>
              <w:rPr>
                <w:rFonts w:ascii="STHeiti" w:hAnsi="STHeiti" w:eastAsia="STHeiti"/>
                <w:color w:val="344054"/>
                <w:sz w:val="18"/>
              </w:rPr>
              <w:t>2004年</w:t>
            </w:r>
          </w:p>
        </w:tc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588744C">
            <w:r>
              <w:rPr>
                <w:rFonts w:ascii="STHeiti" w:hAnsi="STHeiti" w:eastAsia="STHeiti"/>
                <w:color w:val="344054"/>
                <w:sz w:val="18"/>
              </w:rPr>
              <w:t>与韩国东进精工合资成立一东零部件制造公司，增加液压举升机构的研发、生产、销售业务，形成当前“离合器+液压举升机构”主营业务格局；</w:t>
            </w:r>
          </w:p>
        </w:tc>
      </w:tr>
      <w:tr w14:paraId="31F8B1F2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D946C5E">
            <w:r>
              <w:rPr>
                <w:rFonts w:ascii="STHeiti" w:hAnsi="STHeiti" w:eastAsia="STHeiti"/>
                <w:color w:val="344054"/>
                <w:sz w:val="18"/>
              </w:rPr>
              <w:t>2006年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7FB1FCD">
            <w:r>
              <w:rPr>
                <w:rFonts w:ascii="STHeiti" w:hAnsi="STHeiti" w:eastAsia="STHeiti"/>
                <w:color w:val="344054"/>
                <w:sz w:val="18"/>
              </w:rPr>
              <w:t>完成股份分置改革，吉林东光股比降至37.01%，中国一汽股比降至23.52%；</w:t>
            </w:r>
          </w:p>
        </w:tc>
      </w:tr>
      <w:tr w14:paraId="7521841F">
        <w:trPr>
          <w:jc w:val="center"/>
        </w:trPr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69FD478">
            <w:r>
              <w:rPr>
                <w:rFonts w:ascii="STHeiti" w:hAnsi="STHeiti" w:eastAsia="STHeiti"/>
                <w:color w:val="344054"/>
                <w:sz w:val="18"/>
              </w:rPr>
              <w:t>2015年</w:t>
            </w:r>
          </w:p>
        </w:tc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56D0DEC">
            <w:r>
              <w:rPr>
                <w:rFonts w:ascii="STHeiti" w:hAnsi="STHeiti" w:eastAsia="STHeiti"/>
                <w:color w:val="344054"/>
                <w:sz w:val="18"/>
              </w:rPr>
              <w:t>吉林东光减持，持股比例降至32.07%；</w:t>
            </w:r>
          </w:p>
        </w:tc>
      </w:tr>
      <w:tr w14:paraId="5D8C636A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43F16B2">
            <w:r>
              <w:rPr>
                <w:rFonts w:ascii="STHeiti" w:hAnsi="STHeiti" w:eastAsia="STHeiti"/>
                <w:color w:val="344054"/>
                <w:sz w:val="18"/>
              </w:rPr>
              <w:t>2018年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9BD2F5D">
            <w:r>
              <w:rPr>
                <w:rFonts w:ascii="STHeiti" w:hAnsi="STHeiti" w:eastAsia="STHeiti"/>
                <w:color w:val="344054"/>
                <w:sz w:val="18"/>
              </w:rPr>
              <w:t>中国一汽划转23.52%股权至一汽股权；</w:t>
            </w:r>
          </w:p>
        </w:tc>
      </w:tr>
      <w:tr w14:paraId="5B22574B">
        <w:trPr>
          <w:jc w:val="center"/>
        </w:trPr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E3C7339">
            <w:r>
              <w:rPr>
                <w:rFonts w:ascii="STHeiti" w:hAnsi="STHeiti" w:eastAsia="STHeiti"/>
                <w:color w:val="344054"/>
                <w:sz w:val="18"/>
              </w:rPr>
              <w:t>2020年</w:t>
            </w:r>
          </w:p>
        </w:tc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CEDD237">
            <w:r>
              <w:rPr>
                <w:rFonts w:ascii="STHeiti" w:hAnsi="STHeiti" w:eastAsia="STHeiti"/>
                <w:color w:val="344054"/>
                <w:sz w:val="18"/>
              </w:rPr>
              <w:t>吉林东光划转8.07%股权至中兵投资；</w:t>
            </w:r>
          </w:p>
        </w:tc>
      </w:tr>
      <w:tr w14:paraId="6E601A0E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60C255D">
            <w:r>
              <w:rPr>
                <w:rFonts w:ascii="STHeiti" w:hAnsi="STHeiti" w:eastAsia="STHeiti"/>
                <w:color w:val="344054"/>
                <w:sz w:val="18"/>
              </w:rPr>
              <w:t>2022年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E7F1053">
            <w:r>
              <w:rPr>
                <w:rFonts w:ascii="STHeiti" w:hAnsi="STHeiti" w:eastAsia="STHeiti"/>
                <w:color w:val="344054"/>
                <w:sz w:val="18"/>
              </w:rPr>
              <w:t>吉林东光划转24%股权至东北工业集团；</w:t>
            </w:r>
          </w:p>
        </w:tc>
      </w:tr>
    </w:tbl>
    <w:p w14:paraId="3C8E4C7C"/>
    <w:p w14:paraId="23356CC0">
      <w:pPr>
        <w:pStyle w:val="3"/>
        <w:pBdr>
          <w:bottom w:val="single" w:color="152A8C" w:sz="8" w:space="4"/>
        </w:pBdr>
      </w:pPr>
      <w:r>
        <w:t>五 变更范围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208319FE">
        <w:trPr>
          <w:tblHeader/>
          <w:jc w:val="center"/>
        </w:trPr>
        <w:tc>
          <w:tcPr>
            <w:tcW w:w="4873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C250AA">
            <w:r>
              <w:rPr>
                <w:rFonts w:ascii="STHeiti" w:hAnsi="STHeiti" w:eastAsia="STHeiti"/>
                <w:b/>
                <w:color w:val="FFFFFF"/>
                <w:sz w:val="18"/>
              </w:rPr>
              <w:t>项目</w:t>
            </w:r>
          </w:p>
        </w:tc>
        <w:tc>
          <w:tcPr>
            <w:tcW w:w="4873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C36439">
            <w:r>
              <w:rPr>
                <w:rFonts w:ascii="STHeiti" w:hAnsi="STHeiti" w:eastAsia="STHeiti"/>
                <w:b/>
                <w:color w:val="FFFFFF"/>
                <w:sz w:val="18"/>
              </w:rPr>
              <w:t>变更内容</w:t>
            </w:r>
          </w:p>
        </w:tc>
      </w:tr>
      <w:tr w14:paraId="4F24FE63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0CD2A96">
            <w:r>
              <w:rPr>
                <w:rFonts w:ascii="STHeiti" w:hAnsi="STHeiti" w:eastAsia="STHeiti"/>
                <w:color w:val="344054"/>
                <w:sz w:val="18"/>
              </w:rPr>
              <w:t>页面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3E241C6">
            <w:r>
              <w:rPr>
                <w:rFonts w:ascii="STHeiti" w:hAnsi="STHeiti" w:eastAsia="STHeiti"/>
                <w:color w:val="344054"/>
                <w:sz w:val="18"/>
              </w:rPr>
              <w:t>参股公司基础信息详情页面</w:t>
            </w:r>
          </w:p>
        </w:tc>
      </w:tr>
      <w:tr w14:paraId="5CA29261">
        <w:trPr>
          <w:jc w:val="center"/>
        </w:trPr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91CEC77">
            <w:r>
              <w:rPr>
                <w:rFonts w:ascii="STHeiti" w:hAnsi="STHeiti" w:eastAsia="STHeiti"/>
                <w:color w:val="344054"/>
                <w:sz w:val="18"/>
              </w:rPr>
              <w:t>页签</w:t>
            </w:r>
          </w:p>
        </w:tc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58525D7">
            <w:r>
              <w:rPr>
                <w:rFonts w:ascii="STHeiti" w:hAnsi="STHeiti" w:eastAsia="STHeiti"/>
                <w:color w:val="344054"/>
                <w:sz w:val="18"/>
              </w:rPr>
              <w:t>新增历史沿革</w:t>
            </w:r>
          </w:p>
        </w:tc>
      </w:tr>
      <w:tr w14:paraId="12DA3F61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FB80422">
            <w:r>
              <w:rPr>
                <w:rFonts w:ascii="STHeiti" w:hAnsi="STHeiti" w:eastAsia="STHeiti"/>
                <w:color w:val="344054"/>
                <w:sz w:val="18"/>
              </w:rPr>
              <w:t>编辑功能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B7FA35F">
            <w:r>
              <w:rPr>
                <w:rFonts w:ascii="STHeiti" w:hAnsi="STHeiti" w:eastAsia="STHeiti"/>
                <w:color w:val="344054"/>
                <w:sz w:val="18"/>
              </w:rPr>
              <w:t>基础简介录入、里程碑新增与删除、年月录入、事件录入、详情预览</w:t>
            </w:r>
          </w:p>
        </w:tc>
      </w:tr>
      <w:tr w14:paraId="46B34430">
        <w:trPr>
          <w:jc w:val="center"/>
        </w:trPr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CAC6A6C">
            <w:r>
              <w:rPr>
                <w:rFonts w:ascii="STHeiti" w:hAnsi="STHeiti" w:eastAsia="STHeiti"/>
                <w:color w:val="344054"/>
                <w:sz w:val="18"/>
              </w:rPr>
              <w:t>详情功能</w:t>
            </w:r>
          </w:p>
        </w:tc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DCC9F80">
            <w:r>
              <w:rPr>
                <w:rFonts w:ascii="STHeiti" w:hAnsi="STHeiti" w:eastAsia="STHeiti"/>
                <w:color w:val="344054"/>
                <w:sz w:val="18"/>
              </w:rPr>
              <w:t>基础简介只读展示、里程碑时间轴展示</w:t>
            </w:r>
          </w:p>
        </w:tc>
      </w:tr>
      <w:tr w14:paraId="24525CF0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067B33A">
            <w:r>
              <w:rPr>
                <w:rFonts w:ascii="STHeiti" w:hAnsi="STHeiti" w:eastAsia="STHeiti"/>
                <w:color w:val="344054"/>
                <w:sz w:val="18"/>
              </w:rPr>
              <w:t>数据状态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69D364E">
            <w:r>
              <w:rPr>
                <w:rFonts w:ascii="STHeiti" w:hAnsi="STHeiti" w:eastAsia="STHeiti"/>
                <w:color w:val="344054"/>
                <w:sz w:val="18"/>
              </w:rPr>
              <w:t>当前阶段使用示例数据验证页面和交互效果</w:t>
            </w:r>
          </w:p>
        </w:tc>
      </w:tr>
    </w:tbl>
    <w:p w14:paraId="33D1ADBF"/>
    <w:p w14:paraId="1D0B7627">
      <w:pPr>
        <w:pStyle w:val="3"/>
        <w:pBdr>
          <w:bottom w:val="single" w:color="152A8C" w:sz="8" w:space="4"/>
        </w:pBdr>
      </w:pPr>
      <w:r>
        <w:t>六 验收标准</w:t>
      </w:r>
    </w:p>
    <w:p w14:paraId="4760240E">
      <w:pPr>
        <w:pStyle w:val="14"/>
      </w:pPr>
      <w:r>
        <w:rPr>
          <w:rFonts w:ascii="STHeiti" w:hAnsi="STHeiti" w:eastAsia="STHeiti"/>
          <w:color w:val="344054"/>
          <w:sz w:val="21"/>
        </w:rPr>
        <w:t>页面出现“历史沿革”页签，点击后展示基础简介和里程碑事件两部分。</w:t>
      </w:r>
    </w:p>
    <w:p w14:paraId="285605DB">
      <w:pPr>
        <w:pStyle w:val="14"/>
      </w:pPr>
      <w:r>
        <w:rPr>
          <w:rFonts w:ascii="STHeiti" w:hAnsi="STHeiti" w:eastAsia="STHeiti"/>
          <w:color w:val="344054"/>
          <w:sz w:val="21"/>
        </w:rPr>
        <w:t>编辑模式下可录入基础简介，可新增及删除里程碑事件。</w:t>
      </w:r>
    </w:p>
    <w:p w14:paraId="17BCC063">
      <w:pPr>
        <w:pStyle w:val="14"/>
      </w:pPr>
      <w:r>
        <w:rPr>
          <w:rFonts w:ascii="STHeiti" w:hAnsi="STHeiti" w:eastAsia="STHeiti"/>
          <w:color w:val="344054"/>
          <w:sz w:val="21"/>
        </w:rPr>
        <w:t>年份为空时给出必填提示；月份仅允许输入1至12的整数；事件正文为空时给出必填提示。</w:t>
      </w:r>
    </w:p>
    <w:p w14:paraId="351923B0">
      <w:pPr>
        <w:pStyle w:val="14"/>
      </w:pPr>
      <w:r>
        <w:rPr>
          <w:rFonts w:ascii="STHeiti" w:hAnsi="STHeiti" w:eastAsia="STHeiti"/>
          <w:color w:val="344054"/>
          <w:sz w:val="21"/>
        </w:rPr>
        <w:t>输入年份和月份后，事件文本开头自动生成对应年月；修改年月时只更新开头日期并保留事件正文。</w:t>
      </w:r>
    </w:p>
    <w:p w14:paraId="5636BC18">
      <w:pPr>
        <w:pStyle w:val="14"/>
      </w:pPr>
      <w:r>
        <w:rPr>
          <w:rFonts w:ascii="STHeiti" w:hAnsi="STHeiti" w:eastAsia="STHeiti"/>
          <w:color w:val="344054"/>
          <w:sz w:val="21"/>
        </w:rPr>
        <w:t>详情模式不显示输入控件，按年月升序展示时间轴。</w:t>
      </w:r>
    </w:p>
    <w:p w14:paraId="0B31FB55">
      <w:pPr>
        <w:pStyle w:val="14"/>
      </w:pPr>
      <w:r>
        <w:rPr>
          <w:rFonts w:ascii="STHeiti" w:hAnsi="STHeiti" w:eastAsia="STHeiti"/>
          <w:color w:val="344054"/>
          <w:sz w:val="21"/>
        </w:rPr>
        <w:t>仅填写年份的事件正确显示年份，填写月份的事件正确显示年份和月份。</w:t>
      </w:r>
    </w:p>
    <w:p w14:paraId="131FD8E9">
      <w:pPr>
        <w:pStyle w:val="14"/>
      </w:pPr>
      <w:r>
        <w:rPr>
          <w:rFonts w:ascii="STHeiti" w:hAnsi="STHeiti" w:eastAsia="STHeiti"/>
          <w:color w:val="344054"/>
          <w:sz w:val="21"/>
        </w:rPr>
        <w:t>无基础简介或无里程碑事件时显示对应空状态。</w:t>
      </w:r>
    </w:p>
    <w:p w14:paraId="40683322">
      <w:pPr>
        <w:pStyle w:val="14"/>
      </w:pPr>
      <w:r>
        <w:rPr>
          <w:rFonts w:ascii="STHeiti" w:hAnsi="STHeiti" w:eastAsia="STHeiti"/>
          <w:color w:val="344054"/>
          <w:sz w:val="21"/>
        </w:rPr>
        <w:t>页面视觉样式与参股公司基础信息页面现有卡片、标题、边框、间距及按钮风格保持一致。</w:t>
      </w:r>
    </w:p>
    <w:p w14:paraId="4CDF132C">
      <w:pPr>
        <w:pStyle w:val="14"/>
      </w:pPr>
      <w:r>
        <w:rPr>
          <w:rFonts w:hint="eastAsia"/>
          <w:color w:val="344054"/>
          <w:sz w:val="21"/>
          <w:lang w:val="en-US" w:eastAsia="zh-CN"/>
        </w:rPr>
        <w:t>查看详情和下次编辑的时候要按照时间顺序排序</w:t>
      </w:r>
    </w:p>
    <w:p w14:paraId="6DB233A8">
      <w:pPr>
        <w:pStyle w:val="3"/>
        <w:pBdr>
          <w:bottom w:val="single" w:color="152A8C" w:sz="8" w:space="4"/>
        </w:pBdr>
      </w:pPr>
      <w:r>
        <w:t>七 界面参考</w:t>
      </w:r>
    </w:p>
    <w:p w14:paraId="2BDB1FA6">
      <w:pPr>
        <w:pStyle w:val="4"/>
      </w:pPr>
      <w:r>
        <w:t>7.1 详情模式</w:t>
      </w:r>
    </w:p>
    <w:p w14:paraId="5B47089D">
      <w:pPr>
        <w:keepNext/>
        <w:jc w:val="center"/>
      </w:pPr>
      <w:r>
        <w:drawing>
          <wp:inline distT="0" distB="0" distL="114300" distR="114300">
            <wp:extent cx="5687695" cy="2332355"/>
            <wp:effectExtent l="0" t="0" r="190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B61BF">
      <w:pPr>
        <w:spacing w:after="160"/>
        <w:jc w:val="center"/>
      </w:pPr>
      <w:r>
        <w:rPr>
          <w:rFonts w:ascii="STHeiti" w:hAnsi="STHeiti" w:eastAsia="STHeiti"/>
          <w:color w:val="667085"/>
          <w:sz w:val="16"/>
        </w:rPr>
        <w:t>历史沿革详情模式</w:t>
      </w:r>
    </w:p>
    <w:p w14:paraId="41F57324">
      <w:r>
        <w:rPr>
          <w:rFonts w:ascii="STHeiti" w:hAnsi="STHeiti" w:eastAsia="STHeiti"/>
          <w:color w:val="344054"/>
          <w:sz w:val="21"/>
        </w:rPr>
        <w:t>图1 历史沿革详情模式</w:t>
      </w:r>
    </w:p>
    <w:p w14:paraId="45E2C656">
      <w:pPr>
        <w:pStyle w:val="4"/>
        <w:rPr>
          <w:rFonts w:hint="eastAsia" w:eastAsiaTheme="majorEastAsia"/>
          <w:lang w:eastAsia="zh-CN"/>
        </w:rPr>
      </w:pPr>
      <w:r>
        <w:t>7.2 编辑模式</w:t>
      </w:r>
    </w:p>
    <w:p w14:paraId="739570CA">
      <w:pPr>
        <w:keepNext/>
        <w:jc w:val="center"/>
        <w:rPr>
          <w:rFonts w:hint="eastAsia" w:eastAsia="STHeiti"/>
          <w:lang w:eastAsia="zh-CN"/>
        </w:rPr>
      </w:pPr>
      <w:r>
        <w:rPr>
          <w:rFonts w:hint="eastAsia" w:eastAsia="STHeiti"/>
          <w:lang w:eastAsia="zh-CN"/>
        </w:rPr>
        <w:drawing>
          <wp:inline distT="0" distB="0" distL="114300" distR="114300">
            <wp:extent cx="6181090" cy="3023235"/>
            <wp:effectExtent l="0" t="0" r="16510" b="24765"/>
            <wp:docPr id="2" name="图片 2" descr="截屏2026-09-08 14.05.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6-09-08 14.05.3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EA15">
      <w:pPr>
        <w:spacing w:after="160"/>
        <w:jc w:val="center"/>
      </w:pPr>
      <w:r>
        <w:rPr>
          <w:rFonts w:ascii="STHeiti" w:hAnsi="STHeiti" w:eastAsia="STHeiti"/>
          <w:color w:val="667085"/>
          <w:sz w:val="16"/>
        </w:rPr>
        <w:t>历史沿革编辑模式上部</w:t>
      </w:r>
    </w:p>
    <w:p w14:paraId="3480C9A8">
      <w:pPr>
        <w:rPr>
          <w:rFonts w:hint="default" w:eastAsia="STHeiti"/>
          <w:lang w:val="en-US" w:eastAsia="zh-CN"/>
        </w:rPr>
      </w:pPr>
      <w:r>
        <w:rPr>
          <w:rFonts w:hint="eastAsia"/>
          <w:lang w:val="en-US" w:eastAsia="zh-CN"/>
        </w:rPr>
        <w:t>点击预览详情可查看详情模式</w:t>
      </w:r>
    </w:p>
    <w:p w14:paraId="3810D8ED">
      <w:pPr>
        <w:keepNext/>
        <w:jc w:val="center"/>
        <w:rPr>
          <w:rFonts w:hint="eastAsia" w:eastAsia="STHeiti"/>
          <w:lang w:eastAsia="zh-CN"/>
        </w:rPr>
      </w:pPr>
      <w:r>
        <w:rPr>
          <w:rFonts w:hint="eastAsia" w:eastAsia="STHeiti"/>
          <w:lang w:eastAsia="zh-CN"/>
        </w:rPr>
        <w:drawing>
          <wp:inline distT="0" distB="0" distL="114300" distR="114300">
            <wp:extent cx="6173470" cy="3164205"/>
            <wp:effectExtent l="0" t="0" r="24130" b="10795"/>
            <wp:docPr id="3" name="图片 3" descr="截屏2026-09-08 14.06.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6-09-08 14.06.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347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AD85">
      <w:pPr>
        <w:keepNext/>
        <w:jc w:val="center"/>
        <w:rPr>
          <w:rFonts w:hint="default" w:eastAsia="STHeiti"/>
          <w:lang w:val="en-US" w:eastAsia="zh-CN"/>
        </w:rPr>
      </w:pPr>
      <w:r>
        <w:rPr>
          <w:rFonts w:hint="eastAsia"/>
          <w:lang w:val="en-US" w:eastAsia="zh-CN"/>
        </w:rPr>
        <w:t>点击编辑出现如图，删除需要做二次校验</w:t>
      </w:r>
    </w:p>
    <w:p w14:paraId="232B033C">
      <w:pPr>
        <w:spacing w:after="160"/>
        <w:jc w:val="center"/>
      </w:pPr>
      <w:r>
        <w:rPr>
          <w:rFonts w:ascii="STHeiti" w:hAnsi="STHeiti" w:eastAsia="STHeiti"/>
          <w:color w:val="667085"/>
          <w:sz w:val="16"/>
        </w:rPr>
        <w:drawing>
          <wp:inline distT="0" distB="0" distL="114300" distR="114300">
            <wp:extent cx="6169025" cy="3437255"/>
            <wp:effectExtent l="0" t="0" r="3175" b="17145"/>
            <wp:docPr id="6" name="图片 6" descr="截屏2026-09-08 14.06.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6-09-08 14.06.5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9025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Heiti" w:hAnsi="STHeiti" w:eastAsia="STHeiti"/>
          <w:color w:val="667085"/>
          <w:sz w:val="16"/>
        </w:rPr>
        <w:t>历史沿革编辑模式下部</w:t>
      </w:r>
    </w:p>
    <w:p w14:paraId="3DCA43C2">
      <w:pPr>
        <w:rPr>
          <w:rFonts w:ascii="STHeiti" w:hAnsi="STHeiti" w:eastAsia="STHeiti"/>
          <w:color w:val="344054"/>
          <w:sz w:val="21"/>
        </w:rPr>
      </w:pPr>
      <w:r>
        <w:rPr>
          <w:rFonts w:ascii="STHeiti" w:hAnsi="STHeiti" w:eastAsia="STHeiti"/>
          <w:color w:val="344054"/>
          <w:sz w:val="21"/>
        </w:rPr>
        <w:t>图3 历史沿革编辑模式下部</w:t>
      </w:r>
    </w:p>
    <w:p w14:paraId="756F04BC">
      <w:pPr>
        <w:rPr>
          <w:rFonts w:ascii="STHeiti" w:hAnsi="STHeiti" w:eastAsia="STHeiti"/>
          <w:color w:val="344054"/>
          <w:sz w:val="21"/>
        </w:rPr>
      </w:pPr>
      <w:r>
        <w:rPr>
          <w:rFonts w:ascii="STHeiti" w:hAnsi="STHeiti" w:eastAsia="STHeiti"/>
          <w:color w:val="344054"/>
          <w:sz w:val="21"/>
        </w:rPr>
        <w:drawing>
          <wp:inline distT="0" distB="0" distL="114300" distR="114300">
            <wp:extent cx="6181090" cy="3211830"/>
            <wp:effectExtent l="0" t="0" r="16510" b="13970"/>
            <wp:docPr id="5" name="图片 5" descr="截屏2026-09-08 14.06.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6-09-08 14.06.3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C871">
      <w:pPr>
        <w:rPr>
          <w:rFonts w:hint="default" w:ascii="STHeiti" w:hAnsi="STHeiti" w:eastAsia="STHeiti"/>
          <w:color w:val="344054"/>
          <w:sz w:val="21"/>
          <w:lang w:val="en-US" w:eastAsia="zh-CN"/>
        </w:rPr>
      </w:pPr>
      <w:r>
        <w:rPr>
          <w:rFonts w:hint="eastAsia"/>
          <w:color w:val="344054"/>
          <w:sz w:val="21"/>
          <w:lang w:val="en-US" w:eastAsia="zh-CN"/>
        </w:rPr>
        <w:t>查看历史变更设计如下</w:t>
      </w:r>
      <w:r>
        <w:rPr>
          <w:rFonts w:hint="eastAsia"/>
          <w:color w:val="344054"/>
          <w:sz w:val="21"/>
          <w:lang w:val="en-US" w:eastAsia="zh-CN"/>
        </w:rPr>
        <w:br w:type="textWrapping"/>
      </w:r>
      <w:r>
        <w:rPr>
          <w:rFonts w:ascii="STHeiti" w:hAnsi="STHeiti" w:eastAsia="STHeiti"/>
          <w:color w:val="344054"/>
          <w:sz w:val="21"/>
        </w:rPr>
        <w:drawing>
          <wp:inline distT="0" distB="0" distL="114300" distR="114300">
            <wp:extent cx="6178550" cy="3245485"/>
            <wp:effectExtent l="0" t="0" r="19050" b="5715"/>
            <wp:docPr id="7" name="图片 7" descr="截屏2026-09-08 14.07.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6-09-08 14.07.4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Heiti" w:hAnsi="STHeiti" w:eastAsia="STHeiti"/>
          <w:color w:val="344054"/>
          <w:sz w:val="21"/>
        </w:rPr>
        <w:br w:type="textWrapping"/>
      </w:r>
      <w:r>
        <w:rPr>
          <w:rFonts w:hint="eastAsia"/>
          <w:color w:val="344054"/>
          <w:sz w:val="21"/>
          <w:lang w:val="en-US" w:eastAsia="zh-CN"/>
        </w:rPr>
        <w:t>变更模式分为 里程碑时间修改和李澄碧事件内容修改</w:t>
      </w:r>
      <w:bookmarkStart w:id="0" w:name="_GoBack"/>
      <w:bookmarkEnd w:id="0"/>
    </w:p>
    <w:sectPr>
      <w:headerReference r:id="rId5" w:type="first"/>
      <w:footerReference r:id="rId7" w:type="first"/>
      <w:footerReference r:id="rId6" w:type="default"/>
      <w:pgSz w:w="12240" w:h="15840"/>
      <w:pgMar w:top="1020" w:right="1247" w:bottom="964" w:left="1247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THeiti">
    <w:panose1 w:val="02010600040101010101"/>
    <w:charset w:val="86"/>
    <w:family w:val="auto"/>
    <w:pitch w:val="default"/>
    <w:sig w:usb0="00000287" w:usb1="080F0000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072120">
    <w:pPr>
      <w:pStyle w:val="24"/>
      <w:jc w:val="left"/>
    </w:pPr>
    <w:r>
      <w:rPr>
        <w:rFonts w:ascii="STHeiti" w:hAnsi="STHeiti" w:eastAsia="STHeiti"/>
        <w:color w:val="667085"/>
        <w:sz w:val="16"/>
      </w:rPr>
      <w:t>一汽股权｜需求文档</w:t>
    </w:r>
  </w:p>
  <w:p w14:paraId="5128A212">
    <w:pPr>
      <w:jc w:val="right"/>
    </w:pPr>
    <w:r>
      <w:rPr>
        <w:rFonts w:ascii="STHeiti" w:hAnsi="STHeiti" w:eastAsia="STHeiti"/>
        <w:color w:val="667085"/>
        <w:sz w:val="16"/>
      </w:rPr>
      <w:fldChar w:fldCharType="begin"/>
    </w:r>
    <w:r>
      <w:rPr>
        <w:rFonts w:ascii="STHeiti" w:hAnsi="STHeiti" w:eastAsia="STHeiti"/>
        <w:color w:val="667085"/>
        <w:sz w:val="16"/>
      </w:rPr>
      <w:instrText xml:space="preserve"> PAGE </w:instrText>
    </w:r>
    <w:r>
      <w:rPr>
        <w:rFonts w:ascii="STHeiti" w:hAnsi="STHeiti" w:eastAsia="STHeiti"/>
        <w:color w:val="667085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F53529">
    <w:pPr>
      <w:pStyle w:val="24"/>
      <w:jc w:val="left"/>
    </w:pPr>
    <w:r>
      <w:rPr>
        <w:rFonts w:ascii="STHeiti" w:hAnsi="STHeiti" w:eastAsia="STHeiti"/>
        <w:color w:val="667085"/>
        <w:sz w:val="16"/>
      </w:rPr>
      <w:t>一汽股权｜需求文档</w:t>
    </w:r>
  </w:p>
  <w:p w14:paraId="4A529D7D">
    <w:pPr>
      <w:jc w:val="right"/>
    </w:pPr>
    <w:r>
      <w:rPr>
        <w:rFonts w:ascii="STHeiti" w:hAnsi="STHeiti" w:eastAsia="STHeiti"/>
        <w:color w:val="667085"/>
        <w:sz w:val="16"/>
      </w:rPr>
      <w:fldChar w:fldCharType="begin"/>
    </w:r>
    <w:r>
      <w:rPr>
        <w:rFonts w:ascii="STHeiti" w:hAnsi="STHeiti" w:eastAsia="STHeiti"/>
        <w:color w:val="667085"/>
        <w:sz w:val="16"/>
      </w:rPr>
      <w:instrText xml:space="preserve"> PAGE </w:instrText>
    </w:r>
    <w:r>
      <w:rPr>
        <w:rFonts w:ascii="STHeiti" w:hAnsi="STHeiti" w:eastAsia="STHeiti"/>
        <w:color w:val="66708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FE4B73">
    <w:pPr>
      <w:pStyle w:val="25"/>
    </w:pPr>
  </w:p>
  <w:tbl>
    <w:tblPr>
      <w:tblStyle w:val="32"/>
      <w:tblW w:w="0" w:type="auto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690"/>
      <w:gridCol w:w="2721"/>
    </w:tblGrid>
    <w:tr w14:paraId="04B5E038">
      <w:trPr>
        <w:jc w:val="center"/>
      </w:trPr>
      <w:tc>
        <w:tcPr>
          <w:tcW w:w="4706" w:type="dxa"/>
          <w:tcMar>
            <w:top w:w="0" w:type="dxa"/>
            <w:left w:w="0" w:type="dxa"/>
            <w:bottom w:w="0" w:type="dxa"/>
            <w:right w:w="0" w:type="dxa"/>
          </w:tcMar>
        </w:tcPr>
        <w:p w14:paraId="5DF11CFA">
          <w:r>
            <w:rPr>
              <w:rFonts w:ascii="STHeiti" w:hAnsi="STHeiti" w:eastAsia="STHeiti"/>
              <w:b/>
              <w:color w:val="152A8C"/>
              <w:sz w:val="17"/>
            </w:rPr>
            <w:t>产品需求文档 / PRD</w:t>
          </w:r>
        </w:p>
      </w:tc>
      <w:tc>
        <w:tcPr>
          <w:tcW w:w="4706" w:type="dxa"/>
          <w:tcMar>
            <w:top w:w="0" w:type="dxa"/>
            <w:left w:w="0" w:type="dxa"/>
            <w:bottom w:w="0" w:type="dxa"/>
            <w:right w:w="0" w:type="dxa"/>
          </w:tcMar>
        </w:tcPr>
        <w:p w14:paraId="20F481DC">
          <w:pPr>
            <w:jc w:val="right"/>
          </w:pPr>
          <w:r>
            <w:drawing>
              <wp:inline distT="0" distB="0" distL="114300" distR="114300">
                <wp:extent cx="1223645" cy="566420"/>
                <wp:effectExtent l="0" t="0" r="20955" b="17780"/>
                <wp:docPr id="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4000" cy="5668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5215BB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9E625E9"/>
    <w:rsid w:val="7F9A1FCF"/>
    <w:rsid w:val="FFEB4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24" w:lineRule="auto"/>
    </w:pPr>
    <w:rPr>
      <w:rFonts w:ascii="STHeiti" w:hAnsi="STHeiti" w:eastAsia="STHeiti" w:cstheme="minorBidi"/>
      <w:color w:val="344054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60"/>
      <w:outlineLvl w:val="0"/>
    </w:pPr>
    <w:rPr>
      <w:rFonts w:asciiTheme="majorHAnsi" w:hAnsiTheme="majorHAnsi" w:eastAsiaTheme="majorEastAsia" w:cstheme="majorBidi"/>
      <w:b/>
      <w:bCs/>
      <w:color w:val="152A8C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 w:after="120"/>
      <w:outlineLvl w:val="1"/>
    </w:pPr>
    <w:rPr>
      <w:rFonts w:asciiTheme="majorHAnsi" w:hAnsiTheme="majorHAnsi" w:eastAsiaTheme="majorEastAsia" w:cstheme="majorBidi"/>
      <w:b/>
      <w:bCs/>
      <w:color w:val="152A8C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100"/>
      <w:outlineLvl w:val="2"/>
    </w:pPr>
    <w:rPr>
      <w:rFonts w:asciiTheme="majorHAnsi" w:hAnsiTheme="majorHAnsi" w:eastAsiaTheme="majorEastAsia" w:cstheme="majorBidi"/>
      <w:b/>
      <w:bCs/>
      <w:color w:val="152A8C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STHeiti" w:hAnsi="STHeiti" w:eastAsia="STHeiti"/>
      <w:color w:val="344054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STHeiti" w:hAnsi="STHeiti" w:eastAsia="STHeiti"/>
      <w:color w:val="344054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一汽股权</dc:creator>
  <dc:description>generated by python-docx</dc:description>
  <cp:lastModifiedBy>郭_少</cp:lastModifiedBy>
  <dcterms:modified xsi:type="dcterms:W3CDTF">2026-09-08T14:09:16Z</dcterms:modified>
  <dc:subject>产品需求文档</dc:subject>
  <dc:title>参股公司信息管理历史沿革需求说明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6B7E8BF2A34E88A2F97B9F6AA5BC2938_42</vt:lpwstr>
  </property>
</Properties>
</file>