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540" w:lineRule="exact" w:before="200"/>
        <w:pStyle w:val="Title"/>
        <w:snapToGrid w:val="0"/>
      </w:pPr>
      <w:r>
        <w:rPr>
          <w:rFonts w:ascii="Arial Unicode MS" w:hAnsi="Arial Unicode MS" w:eastAsia="Arial Unicode MS"/>
          <w:b/>
          <w:color w:val="000000"/>
          <w:sz w:val="42"/>
        </w:rPr>
        <w:t>年度目标生效月份及投后报告展示需求</w:t>
      </w:r>
    </w:p>
    <w:p>
      <w:pPr>
        <w:spacing w:line="300" w:lineRule="exact" w:after="100"/>
        <w:snapToGrid w:val="0"/>
      </w:pPr>
      <w:r>
        <w:rPr>
          <w:rFonts w:ascii="Arial Unicode MS" w:hAnsi="Arial Unicode MS" w:eastAsia="Arial Unicode MS"/>
          <w:color w:val="344054"/>
          <w:sz w:val="18"/>
        </w:rPr>
        <w:t>编制日期：2026年9月7日　　版本：V1.1　　适用部门：股权运营部</w:t>
      </w:r>
    </w:p>
    <w:p>
      <w:pPr>
        <w:pStyle w:val="Heading1"/>
        <w:spacing w:line="420" w:lineRule="exact" w:after="100" w:before="180"/>
        <w:snapToGrid w:val="0"/>
      </w:pPr>
      <w:r>
        <w:t>一 需求背景及修改范围</w:t>
      </w:r>
    </w:p>
    <w:p>
      <w:pPr>
        <w:spacing w:line="300" w:lineRule="exact" w:after="100"/>
        <w:snapToGrid w:val="0"/>
      </w:pPr>
      <w:r>
        <w:rPr>
          <w:rFonts w:ascii="Arial Unicode MS" w:hAnsi="Arial Unicode MS" w:eastAsia="Arial Unicode MS"/>
          <w:color w:val="344054"/>
          <w:sz w:val="21"/>
        </w:rPr>
        <w:t>年度目标设定中的重点课题需要增加月份时间段，用于控制对应目标在参股公司投后报告各月份中的展示。本次修改仅限股权运营部，历史数据默认按1月至12月显示。</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shd w:fill="152A8C"/>
            <w:vAlign w:val="center"/>
            <w:tcMar>
              <w:top w:w="120" w:type="dxa"/>
              <w:start w:w="120" w:type="dxa"/>
              <w:bottom w:w="120"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b/>
                <w:color w:val="FFFFFF"/>
                <w:sz w:val="18"/>
              </w:rPr>
              <w:t>业务页面</w:t>
            </w:r>
          </w:p>
        </w:tc>
        <w:tc>
          <w:tcPr>
            <w:tcW w:type="dxa" w:w="3249"/>
            <w:shd w:fill="152A8C"/>
            <w:vAlign w:val="center"/>
            <w:tcMar>
              <w:top w:w="120" w:type="dxa"/>
              <w:start w:w="120" w:type="dxa"/>
              <w:bottom w:w="120"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b/>
                <w:color w:val="FFFFFF"/>
                <w:sz w:val="18"/>
              </w:rPr>
              <w:t>修改位置</w:t>
            </w:r>
          </w:p>
        </w:tc>
        <w:tc>
          <w:tcPr>
            <w:tcW w:type="dxa" w:w="3249"/>
            <w:shd w:fill="152A8C"/>
            <w:vAlign w:val="center"/>
            <w:tcMar>
              <w:top w:w="120" w:type="dxa"/>
              <w:start w:w="120" w:type="dxa"/>
              <w:bottom w:w="120"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b/>
                <w:color w:val="FFFFFF"/>
                <w:sz w:val="18"/>
              </w:rPr>
              <w:t>修改内容</w:t>
            </w:r>
          </w:p>
        </w:tc>
      </w:tr>
      <w:tr>
        <w:trPr>
          <w:cantSplit/>
        </w:trPr>
        <w:tc>
          <w:tcPr>
            <w:tcW w:type="dxa" w:w="3249"/>
            <w:vAlign w:val="center"/>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年度经营目标设定</w:t>
            </w:r>
          </w:p>
        </w:tc>
        <w:tc>
          <w:tcPr>
            <w:tcW w:type="dxa" w:w="3249"/>
            <w:vAlign w:val="center"/>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重点课题表格</w:t>
            </w:r>
          </w:p>
        </w:tc>
        <w:tc>
          <w:tcPr>
            <w:tcW w:type="dxa" w:w="3249"/>
            <w:vAlign w:val="center"/>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增加生效月份时间段选择</w:t>
            </w:r>
          </w:p>
        </w:tc>
      </w:tr>
      <w:tr>
        <w:trPr>
          <w:cantSplit/>
        </w:trPr>
        <w:tc>
          <w:tcPr>
            <w:tcW w:type="dxa" w:w="3249"/>
            <w:vAlign w:val="center"/>
            <w:shd w:fill="F7F9FC"/>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参股公司投后报告</w:t>
            </w:r>
          </w:p>
        </w:tc>
        <w:tc>
          <w:tcPr>
            <w:tcW w:type="dxa" w:w="3249"/>
            <w:vAlign w:val="center"/>
            <w:shd w:fill="F7F9FC"/>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重点工作推进情况</w:t>
            </w:r>
          </w:p>
        </w:tc>
        <w:tc>
          <w:tcPr>
            <w:tcW w:type="dxa" w:w="3249"/>
            <w:vAlign w:val="center"/>
            <w:shd w:fill="F7F9FC"/>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按报告月份显示生效范围内的课题及目标</w:t>
            </w:r>
          </w:p>
        </w:tc>
      </w:tr>
      <w:tr>
        <w:trPr>
          <w:cantSplit/>
        </w:trPr>
        <w:tc>
          <w:tcPr>
            <w:tcW w:type="dxa" w:w="3249"/>
            <w:vAlign w:val="center"/>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历史数据</w:t>
            </w:r>
          </w:p>
        </w:tc>
        <w:tc>
          <w:tcPr>
            <w:tcW w:type="dxa" w:w="3249"/>
            <w:vAlign w:val="center"/>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原有重点课题目标</w:t>
            </w:r>
          </w:p>
        </w:tc>
        <w:tc>
          <w:tcPr>
            <w:tcW w:type="dxa" w:w="3249"/>
            <w:vAlign w:val="center"/>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未配置生效月份的数据按1月至12月显示</w:t>
            </w:r>
          </w:p>
        </w:tc>
      </w:tr>
    </w:tbl>
    <w:p>
      <w:pPr>
        <w:spacing w:line="300" w:lineRule="exact" w:after="100"/>
        <w:snapToGrid w:val="0"/>
      </w:pPr>
    </w:p>
    <w:p>
      <w:pPr>
        <w:pStyle w:val="Heading1"/>
        <w:spacing w:line="420" w:lineRule="exact" w:after="100" w:before="180"/>
        <w:snapToGrid w:val="0"/>
      </w:pPr>
      <w:r>
        <w:t>二 年度目标设定</w:t>
      </w:r>
    </w:p>
    <w:p>
      <w:pPr>
        <w:spacing w:line="300" w:lineRule="exact" w:after="100"/>
        <w:snapToGrid w:val="0"/>
      </w:pPr>
      <w:r>
        <w:rPr>
          <w:rFonts w:ascii="Arial Unicode MS" w:hAnsi="Arial Unicode MS" w:eastAsia="Arial Unicode MS"/>
          <w:color w:val="344054"/>
          <w:sz w:val="21"/>
        </w:rPr>
        <w:t>在“重点课题”表格的“年度整体目标”列后、“操作”列前增加“生效月份”列，位置见图1。每条课题分别设置起始月份和结束月份。</w:t>
      </w:r>
    </w:p>
    <w:p>
      <w:pPr>
        <w:spacing w:line="300" w:lineRule="exact" w:after="100"/>
        <w:snapToGrid w:val="0"/>
      </w:pPr>
      <w:r>
        <w:rPr>
          <w:rFonts w:ascii="Arial Unicode MS" w:hAnsi="Arial Unicode MS" w:eastAsia="Arial Unicode MS"/>
          <w:color w:val="344054"/>
          <w:sz w:val="21"/>
        </w:rPr>
        <w:t>选择粒度仅为月份，起止月份的可选范围均为1月至12月。以“起始月份—结束月份”表达目标的连续生效时间段，不涉及日期或跨年度选择。</w:t>
      </w:r>
    </w:p>
    <w:p>
      <w:pPr>
        <w:pStyle w:val="Heading1"/>
        <w:spacing w:line="420" w:lineRule="exact" w:after="100" w:before="180"/>
        <w:snapToGrid w:val="0"/>
      </w:pPr>
      <w:r>
        <w:t>三 参股公司投后报告月报</w:t>
      </w:r>
    </w:p>
    <w:p>
      <w:pPr>
        <w:spacing w:line="300" w:lineRule="exact" w:after="100"/>
        <w:snapToGrid w:val="0"/>
      </w:pPr>
      <w:r>
        <w:rPr>
          <w:rFonts w:ascii="Arial Unicode MS" w:hAnsi="Arial Unicode MS" w:eastAsia="Arial Unicode MS"/>
          <w:color w:val="344054"/>
          <w:sz w:val="21"/>
        </w:rPr>
        <w:t>在“重点工作推进情况”区域，根据当前报告所属年份及月份，展示对应年度中生效月份范围内的重点课题和年度整体目标，位置见图2。</w:t>
      </w:r>
    </w:p>
    <w:p>
      <w:pPr>
        <w:spacing w:line="300" w:lineRule="exact" w:after="100"/>
        <w:snapToGrid w:val="0"/>
      </w:pPr>
      <w:r>
        <w:rPr>
          <w:rFonts w:ascii="Arial Unicode MS" w:hAnsi="Arial Unicode MS" w:eastAsia="Arial Unicode MS"/>
          <w:color w:val="344054"/>
          <w:sz w:val="21"/>
        </w:rPr>
        <w:t>报告月份落在起始月份至结束月份之间时显示对应目标，包含起始月和结束月；范围外月份不显示该目标。例如，生效范围为3月至8月时，3月至8月的报告显示该目标，1月至2月及9月至12月不显示。</w:t>
      </w:r>
    </w:p>
    <w:p>
      <w:pPr>
        <w:pStyle w:val="Heading1"/>
        <w:spacing w:line="420" w:lineRule="exact" w:after="100" w:before="180"/>
        <w:pageBreakBefore/>
        <w:snapToGrid w:val="0"/>
      </w:pPr>
      <w:r>
        <w:t>四 参股公司投后报告季报</w:t>
      </w:r>
    </w:p>
    <w:p>
      <w:pPr>
        <w:spacing w:line="300" w:lineRule="exact" w:after="100"/>
        <w:snapToGrid w:val="0"/>
      </w:pPr>
      <w:r>
        <w:rPr>
          <w:rFonts w:ascii="Arial Unicode MS" w:hAnsi="Arial Unicode MS" w:eastAsia="Arial Unicode MS"/>
          <w:color w:val="344054"/>
          <w:sz w:val="21"/>
        </w:rPr>
        <w:t>季报“重点工作推进情况/综合评价”中的重点工作推进情况区域，按课题生效月份与报告所属季度是否存在交集展示对应课题及年度整体目标。存在交集则展示，无交集则不展示；本季度适用月份为生效月份范围与该季度月份范围的交集。</w:t>
      </w:r>
    </w:p>
    <w:p>
      <w:pPr>
        <w:spacing w:line="300" w:lineRule="exact" w:after="100"/>
        <w:snapToGrid w:val="0"/>
      </w:pPr>
      <w:r>
        <w:rPr>
          <w:rFonts w:ascii="Arial Unicode MS" w:hAnsi="Arial Unicode MS" w:eastAsia="Arial Unicode MS"/>
          <w:color w:val="344054"/>
          <w:sz w:val="21"/>
        </w:rPr>
        <w:t>例如，第二季度包含4月至6月，展示规则如下。</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shd w:fill="152A8C"/>
            <w:vAlign w:val="center"/>
            <w:tcMar>
              <w:top w:w="120" w:type="dxa"/>
              <w:start w:w="120" w:type="dxa"/>
              <w:bottom w:w="120"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b/>
                <w:color w:val="FFFFFF"/>
                <w:sz w:val="18"/>
              </w:rPr>
              <w:t>课题生效月份</w:t>
            </w:r>
          </w:p>
        </w:tc>
        <w:tc>
          <w:tcPr>
            <w:tcW w:type="dxa" w:w="3249"/>
            <w:shd w:fill="152A8C"/>
            <w:vAlign w:val="center"/>
            <w:tcMar>
              <w:top w:w="120" w:type="dxa"/>
              <w:start w:w="120" w:type="dxa"/>
              <w:bottom w:w="120"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b/>
                <w:color w:val="FFFFFF"/>
                <w:sz w:val="18"/>
              </w:rPr>
              <w:t>二季度是否展示</w:t>
            </w:r>
          </w:p>
        </w:tc>
        <w:tc>
          <w:tcPr>
            <w:tcW w:type="dxa" w:w="3249"/>
            <w:shd w:fill="152A8C"/>
            <w:vAlign w:val="center"/>
            <w:tcMar>
              <w:top w:w="120" w:type="dxa"/>
              <w:start w:w="120" w:type="dxa"/>
              <w:bottom w:w="120"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b/>
                <w:color w:val="FFFFFF"/>
                <w:sz w:val="18"/>
              </w:rPr>
              <w:t>本季度适用月份</w:t>
            </w:r>
          </w:p>
        </w:tc>
      </w:tr>
      <w:tr>
        <w:trPr>
          <w:cantSplit/>
        </w:trPr>
        <w:tc>
          <w:tcPr>
            <w:tcW w:type="dxa" w:w="3249"/>
            <w:vAlign w:val="center"/>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1—3月</w:t>
            </w:r>
          </w:p>
        </w:tc>
        <w:tc>
          <w:tcPr>
            <w:tcW w:type="dxa" w:w="3249"/>
            <w:vAlign w:val="center"/>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否</w:t>
            </w:r>
          </w:p>
        </w:tc>
        <w:tc>
          <w:tcPr>
            <w:tcW w:type="dxa" w:w="3249"/>
            <w:vAlign w:val="center"/>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w:t>
            </w:r>
          </w:p>
        </w:tc>
      </w:tr>
      <w:tr>
        <w:trPr>
          <w:cantSplit/>
        </w:trPr>
        <w:tc>
          <w:tcPr>
            <w:tcW w:type="dxa" w:w="3249"/>
            <w:vAlign w:val="center"/>
            <w:shd w:fill="F7F9FC"/>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3—5月</w:t>
            </w:r>
          </w:p>
        </w:tc>
        <w:tc>
          <w:tcPr>
            <w:tcW w:type="dxa" w:w="3249"/>
            <w:vAlign w:val="center"/>
            <w:shd w:fill="F7F9FC"/>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是</w:t>
            </w:r>
          </w:p>
        </w:tc>
        <w:tc>
          <w:tcPr>
            <w:tcW w:type="dxa" w:w="3249"/>
            <w:vAlign w:val="center"/>
            <w:shd w:fill="F7F9FC"/>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4—5月</w:t>
            </w:r>
          </w:p>
        </w:tc>
      </w:tr>
      <w:tr>
        <w:trPr>
          <w:cantSplit/>
        </w:trPr>
        <w:tc>
          <w:tcPr>
            <w:tcW w:type="dxa" w:w="3249"/>
            <w:vAlign w:val="center"/>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6—8月</w:t>
            </w:r>
          </w:p>
        </w:tc>
        <w:tc>
          <w:tcPr>
            <w:tcW w:type="dxa" w:w="3249"/>
            <w:vAlign w:val="center"/>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是</w:t>
            </w:r>
          </w:p>
        </w:tc>
        <w:tc>
          <w:tcPr>
            <w:tcW w:type="dxa" w:w="3249"/>
            <w:vAlign w:val="center"/>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6月</w:t>
            </w:r>
          </w:p>
        </w:tc>
      </w:tr>
      <w:tr>
        <w:trPr>
          <w:cantSplit/>
        </w:trPr>
        <w:tc>
          <w:tcPr>
            <w:tcW w:type="dxa" w:w="3249"/>
            <w:vAlign w:val="center"/>
            <w:shd w:fill="F7F9FC"/>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1—12月</w:t>
            </w:r>
          </w:p>
        </w:tc>
        <w:tc>
          <w:tcPr>
            <w:tcW w:type="dxa" w:w="3249"/>
            <w:vAlign w:val="center"/>
            <w:shd w:fill="F7F9FC"/>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是</w:t>
            </w:r>
          </w:p>
        </w:tc>
        <w:tc>
          <w:tcPr>
            <w:tcW w:type="dxa" w:w="3249"/>
            <w:vAlign w:val="center"/>
            <w:shd w:fill="F7F9FC"/>
            <w:tcMar>
              <w:top w:w="105" w:type="dxa"/>
              <w:start w:w="120" w:type="dxa"/>
              <w:bottom w:w="105" w:type="dxa"/>
              <w:end w:w="120" w:type="dxa"/>
            </w:tcMar>
            <w:tcBorders>
              <w:top w:val="single" w:sz="4" w:color="D9D9D9"/>
              <w:left w:val="single" w:sz="4" w:color="D9D9D9"/>
              <w:bottom w:val="single" w:sz="4" w:color="D9D9D9"/>
              <w:right w:val="single" w:sz="4" w:color="D9D9D9"/>
            </w:tcBorders>
          </w:tcPr>
          <w:p>
            <w:pPr>
              <w:spacing w:line="260" w:lineRule="exact" w:after="40"/>
              <w:snapToGrid w:val="0"/>
            </w:pPr>
            <w:r/>
            <w:r>
              <w:rPr>
                <w:rFonts w:ascii="Arial Unicode MS" w:hAnsi="Arial Unicode MS" w:eastAsia="Arial Unicode MS"/>
                <w:color w:val="344054"/>
                <w:sz w:val="18"/>
              </w:rPr>
              <w:t>4—6月</w:t>
            </w:r>
          </w:p>
        </w:tc>
      </w:tr>
    </w:tbl>
    <w:p>
      <w:pPr>
        <w:spacing w:line="300" w:lineRule="exact" w:after="100"/>
        <w:snapToGrid w:val="0"/>
      </w:pPr>
    </w:p>
    <w:p>
      <w:pPr>
        <w:pStyle w:val="Heading1"/>
        <w:spacing w:line="420" w:lineRule="exact" w:after="100" w:before="180"/>
        <w:snapToGrid w:val="0"/>
      </w:pPr>
      <w:r>
        <w:t>五 部门范围与历史数据</w:t>
      </w:r>
    </w:p>
    <w:p>
      <w:pPr>
        <w:spacing w:line="300" w:lineRule="exact" w:after="100"/>
        <w:snapToGrid w:val="0"/>
      </w:pPr>
      <w:r>
        <w:rPr>
          <w:rFonts w:ascii="Arial Unicode MS" w:hAnsi="Arial Unicode MS" w:eastAsia="Arial Unicode MS"/>
          <w:b/>
          <w:color w:val="C00000"/>
          <w:sz w:val="21"/>
        </w:rPr>
        <w:t>上述月份选择及月报、季报展示规则仅适用于股权运营部</w:t>
      </w:r>
      <w:r>
        <w:rPr>
          <w:rFonts w:ascii="Arial Unicode MS" w:hAnsi="Arial Unicode MS" w:eastAsia="Arial Unicode MS"/>
          <w:color w:val="344054"/>
          <w:sz w:val="21"/>
        </w:rPr>
        <w:t>；其他部门保持原有页面和目标展示逻辑。</w:t>
      </w:r>
    </w:p>
    <w:p>
      <w:pPr>
        <w:spacing w:line="300" w:lineRule="exact" w:after="100"/>
        <w:snapToGrid w:val="0"/>
      </w:pPr>
      <w:r>
        <w:rPr>
          <w:rFonts w:ascii="Arial Unicode MS" w:hAnsi="Arial Unicode MS" w:eastAsia="Arial Unicode MS"/>
          <w:color w:val="344054"/>
          <w:sz w:val="21"/>
        </w:rPr>
        <w:t>对本次功能上线前未配置生效月份的历史重点课题目标，默认生效范围为1月至12月，在对应年度各月份中均可显示。</w:t>
      </w:r>
    </w:p>
    <w:p>
      <w:pPr>
        <w:spacing w:line="300" w:lineRule="exact" w:after="100"/>
        <w:snapToGrid w:val="0"/>
      </w:pPr>
      <w:r>
        <w:rPr>
          <w:rFonts w:ascii="Arial Unicode MS" w:hAnsi="Arial Unicode MS" w:eastAsia="Arial Unicode MS"/>
          <w:color w:val="344054"/>
          <w:sz w:val="21"/>
        </w:rPr>
        <w:t>历史课题默认生效范围为1月至12月，因此对应年度的四个季度均可显示。</w:t>
      </w:r>
    </w:p>
    <w:p>
      <w:pPr>
        <w:pStyle w:val="Heading1"/>
        <w:spacing w:line="420" w:lineRule="exact" w:after="100" w:before="180"/>
        <w:pageBreakBefore/>
        <w:snapToGrid w:val="0"/>
      </w:pPr>
      <w:r>
        <w:t>六 页面截图及位置说明</w:t>
      </w:r>
    </w:p>
    <w:p>
      <w:pPr>
        <w:pStyle w:val="Heading2"/>
        <w:spacing w:line="420" w:lineRule="exact" w:after="100" w:before="180"/>
        <w:snapToGrid w:val="0"/>
      </w:pPr>
      <w:r>
        <w:t>图1 年度经营目标设定</w:t>
      </w:r>
    </w:p>
    <w:p>
      <w:pPr>
        <w:spacing w:line="300" w:lineRule="exact" w:after="100"/>
        <w:snapToGrid w:val="0"/>
      </w:pPr>
      <w:r>
        <w:rPr>
          <w:rFonts w:ascii="Arial Unicode MS" w:hAnsi="Arial Unicode MS" w:eastAsia="Arial Unicode MS"/>
          <w:color w:val="344054"/>
          <w:sz w:val="21"/>
        </w:rPr>
        <w:t>红框标注“生效月份”列。每行课题分别选择起始月份和结束月份。</w:t>
      </w:r>
    </w:p>
    <w:p>
      <w:pPr>
        <w:keepNext/>
        <w:spacing w:line="240" w:lineRule="auto" w:after="100"/>
        <w:jc w:val="center"/>
        <w:snapToGrid w:val="0"/>
      </w:pPr>
      <w:r>
        <w:drawing>
          <wp:inline xmlns:a="http://schemas.openxmlformats.org/drawingml/2006/main" xmlns:pic="http://schemas.openxmlformats.org/drawingml/2006/picture">
            <wp:extent cx="5688000" cy="2912769"/>
            <wp:docPr id="1" name="Picture 1" descr="用户提供的业务页面原始截图"/>
            <wp:cNvGraphicFramePr>
              <a:graphicFrameLocks noChangeAspect="1"/>
            </wp:cNvGraphicFramePr>
            <a:graphic>
              <a:graphicData uri="http://schemas.openxmlformats.org/drawingml/2006/picture">
                <pic:pic>
                  <pic:nvPicPr>
                    <pic:cNvPr id="0" name="截屏2026-09-07 11.03.39.png"/>
                    <pic:cNvPicPr/>
                  </pic:nvPicPr>
                  <pic:blipFill>
                    <a:blip r:embed="rId12"/>
                    <a:stretch>
                      <a:fillRect/>
                    </a:stretch>
                  </pic:blipFill>
                  <pic:spPr>
                    <a:xfrm>
                      <a:off x="0" y="0"/>
                      <a:ext cx="5688000" cy="2912769"/>
                    </a:xfrm>
                    <a:prstGeom prst="rect"/>
                  </pic:spPr>
                </pic:pic>
              </a:graphicData>
            </a:graphic>
          </wp:inline>
        </w:drawing>
      </w:r>
    </w:p>
    <w:p>
      <w:pPr>
        <w:spacing w:after="100" w:line="300" w:lineRule="exact"/>
        <w:jc w:val="center"/>
        <w:snapToGrid w:val="0"/>
      </w:pPr>
      <w:r>
        <w:rPr>
          <w:rFonts w:ascii="Arial Unicode MS" w:hAnsi="Arial Unicode MS" w:eastAsia="Arial Unicode MS"/>
          <w:color w:val="667085"/>
          <w:sz w:val="16"/>
        </w:rPr>
        <w:t>图1 年度经营目标设定中的生效月份选择位置</w:t>
      </w:r>
    </w:p>
    <w:p>
      <w:pPr>
        <w:pStyle w:val="Heading2"/>
        <w:spacing w:line="420" w:lineRule="exact" w:after="100" w:before="180"/>
        <w:snapToGrid w:val="0"/>
      </w:pPr>
      <w:r>
        <w:t>图2 参股公司投后报告</w:t>
      </w:r>
    </w:p>
    <w:p>
      <w:pPr>
        <w:spacing w:line="300" w:lineRule="exact" w:after="100"/>
        <w:snapToGrid w:val="0"/>
      </w:pPr>
      <w:r>
        <w:rPr>
          <w:rFonts w:ascii="Arial Unicode MS" w:hAnsi="Arial Unicode MS" w:eastAsia="Arial Unicode MS"/>
          <w:color w:val="344054"/>
          <w:sz w:val="21"/>
        </w:rPr>
        <w:t>展示位置为“重点工作推进情况”表格中的“重点课题”和“年度整体目标”。依据报告月份匹配目标生效范围。</w:t>
      </w:r>
    </w:p>
    <w:p>
      <w:pPr>
        <w:keepNext/>
        <w:spacing w:line="240" w:lineRule="auto" w:after="100"/>
        <w:jc w:val="center"/>
        <w:snapToGrid w:val="0"/>
      </w:pPr>
      <w:r>
        <w:drawing>
          <wp:inline xmlns:a="http://schemas.openxmlformats.org/drawingml/2006/main" xmlns:pic="http://schemas.openxmlformats.org/drawingml/2006/picture">
            <wp:extent cx="5688000" cy="2914335"/>
            <wp:docPr id="2" name="Picture 2" descr="用户提供的业务页面原始截图"/>
            <wp:cNvGraphicFramePr>
              <a:graphicFrameLocks noChangeAspect="1"/>
            </wp:cNvGraphicFramePr>
            <a:graphic>
              <a:graphicData uri="http://schemas.openxmlformats.org/drawingml/2006/picture">
                <pic:pic>
                  <pic:nvPicPr>
                    <pic:cNvPr id="0" name="截屏2026-09-07 11.02.53.png"/>
                    <pic:cNvPicPr/>
                  </pic:nvPicPr>
                  <pic:blipFill>
                    <a:blip r:embed="rId13"/>
                    <a:stretch>
                      <a:fillRect/>
                    </a:stretch>
                  </pic:blipFill>
                  <pic:spPr>
                    <a:xfrm>
                      <a:off x="0" y="0"/>
                      <a:ext cx="5688000" cy="2914335"/>
                    </a:xfrm>
                    <a:prstGeom prst="rect"/>
                  </pic:spPr>
                </pic:pic>
              </a:graphicData>
            </a:graphic>
          </wp:inline>
        </w:drawing>
      </w:r>
    </w:p>
    <w:p>
      <w:pPr>
        <w:spacing w:after="100" w:line="300" w:lineRule="exact"/>
        <w:jc w:val="center"/>
        <w:snapToGrid w:val="0"/>
      </w:pPr>
      <w:r>
        <w:rPr>
          <w:rFonts w:ascii="Arial Unicode MS" w:hAnsi="Arial Unicode MS" w:eastAsia="Arial Unicode MS"/>
          <w:color w:val="667085"/>
          <w:sz w:val="16"/>
        </w:rPr>
        <w:t>图2 参股公司投后报告中的重点工作推进情况区域</w:t>
      </w:r>
    </w:p>
    <w:sectPr w:rsidR="00FC693F" w:rsidRPr="0006063C" w:rsidSect="00034616">
      <w:headerReference w:type="first" r:id="rId9"/>
      <w:footerReference w:type="first" r:id="rId10"/>
      <w:footerReference w:type="default" r:id="rId11"/>
      <w:pgSz w:w="11906" w:h="16838"/>
      <w:pgMar w:top="1020" w:right="1247" w:bottom="90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Unicode MS" w:hAnsi="Arial Unicode MS" w:eastAsia="Arial Unicode MS"/>
        <w:color w:val="667085"/>
        <w:sz w:val="16"/>
      </w:rPr>
      <w:t>一汽股权｜需求文档</w:t>
    </w:r>
  </w:p>
  <w:p>
    <w:pPr>
      <w:jc w:val="right"/>
    </w:pPr>
    <w:r>
      <w:rPr>
        <w:rFonts w:ascii="Arial Unicode MS" w:hAnsi="Arial Unicode MS" w:eastAsia="Arial Unicode MS"/>
        <w:color w:val="667085"/>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Unicode MS" w:hAnsi="Arial Unicode MS" w:eastAsia="Arial Unicode MS"/>
        <w:color w:val="667085"/>
        <w:sz w:val="16"/>
      </w:rPr>
      <w:t>一汽股权｜需求文档</w:t>
    </w:r>
  </w:p>
  <w:p>
    <w:pPr>
      <w:jc w:val="right"/>
    </w:pPr>
    <w:r>
      <w:rPr>
        <w:rFonts w:ascii="Arial Unicode MS" w:hAnsi="Arial Unicode MS" w:eastAsia="Arial Unicode MS"/>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6690"/>
      <w:gridCol w:w="2721"/>
    </w:tblGrid>
    <w:tr>
      <w:tc>
        <w:tcPr>
          <w:tcW w:type="dxa" w:w="4706"/>
          <w:tcMar>
            <w:top w:w="0" w:type="dxa"/>
            <w:start w:w="0" w:type="dxa"/>
            <w:bottom w:w="0" w:type="dxa"/>
            <w:end w:w="0" w:type="dxa"/>
          </w:tcMar>
        </w:tcPr>
        <w:p>
          <w:r>
            <w:rPr>
              <w:rFonts w:ascii="Arial Unicode MS" w:hAnsi="Arial Unicode MS" w:eastAsia="Arial Unicode MS"/>
              <w:b/>
              <w:color w:val="152A8C"/>
              <w:sz w:val="17"/>
            </w:rPr>
            <w:t>产品需求文档 / PRD</w:t>
          </w:r>
        </w:p>
      </w:tc>
      <w:tc>
        <w:tcPr>
          <w:tcW w:type="dxa" w:w="4706"/>
          <w:tcMar>
            <w:top w:w="0" w:type="dxa"/>
            <w:start w:w="0" w:type="dxa"/>
            <w:bottom w:w="0" w:type="dxa"/>
            <w:end w:w="0" w:type="dxa"/>
          </w:tcMar>
        </w:tcPr>
        <w:p>
          <w:pPr>
            <w:jc w:val="right"/>
          </w:pPr>
          <w:r>
            <w:drawing>
              <wp:inline xmlns:a="http://schemas.openxmlformats.org/drawingml/2006/main" xmlns:pic="http://schemas.openxmlformats.org/drawingml/2006/picture">
                <wp:extent cx="1224000" cy="566881"/>
                <wp:docPr id="1" name="Picture 1"/>
                <wp:cNvGraphicFramePr>
                  <a:graphicFrameLocks noChangeAspect="1"/>
                </wp:cNvGraphicFramePr>
                <a:graphic>
                  <a:graphicData uri="http://schemas.openxmlformats.org/drawingml/2006/picture">
                    <pic:pic>
                      <pic:nvPicPr>
                        <pic:cNvPr id="0" name="faw-equity-logo.png"/>
                        <pic:cNvPicPr/>
                      </pic:nvPicPr>
                      <pic:blipFill>
                        <a:blip r:embed="rId1"/>
                        <a:stretch>
                          <a:fillRect/>
                        </a:stretch>
                      </pic:blipFill>
                      <pic:spPr>
                        <a:xfrm>
                          <a:off x="0" y="0"/>
                          <a:ext cx="1224000" cy="566881"/>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Arial Unicode MS" w:hAnsi="Arial Unicode MS" w:eastAsia="Arial Unicode MS"/>
      <w:color w:val="3440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Unicode MS" w:hAnsi="Arial Unicode MS" w:eastAsia="Arial Unicode M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Unicode MS" w:hAnsi="Arial Unicode MS" w:eastAsia="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color w:val="344054"/>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color w:val="344054"/>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年度目标生效月份及投后报告展示需求</dc:title>
  <dc:subject>产品需求文档</dc:subject>
  <dc:creator>一汽股权</dc:creator>
  <cp:keywords/>
  <dc:description>generated by python-docx</dc:description>
  <cp:lastModifiedBy/>
  <cp:revision>1</cp:revision>
  <dcterms:created xsi:type="dcterms:W3CDTF">2013-12-23T23:15:00Z</dcterms:created>
  <dcterms:modified xsi:type="dcterms:W3CDTF">2013-12-23T23:15:00Z</dcterms:modified>
  <cp:category/>
</cp:coreProperties>
</file>