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1C87F">
      <w:pPr>
        <w:spacing w:before="560" w:after="80"/>
      </w:pPr>
      <w:r>
        <w:rPr>
          <w:rFonts w:ascii="Hiragino Sans GB" w:hAnsi="Hiragino Sans GB" w:eastAsia="Hiragino Sans GB"/>
          <w:b/>
          <w:color w:val="C00000"/>
          <w:sz w:val="18"/>
        </w:rPr>
        <w:t>PRD / 需求文档</w:t>
      </w:r>
    </w:p>
    <w:p w14:paraId="2D56E48B">
      <w:pPr>
        <w:pBdr>
          <w:bottom w:val="single" w:color="152A8C" w:sz="14" w:space="7"/>
        </w:pBdr>
        <w:spacing w:after="120"/>
      </w:pPr>
      <w:r>
        <w:rPr>
          <w:rFonts w:ascii="Hiragino Sans GB" w:hAnsi="Hiragino Sans GB" w:eastAsia="Hiragino Sans GB"/>
          <w:b/>
          <w:color w:val="152A8C"/>
          <w:sz w:val="48"/>
        </w:rPr>
        <w:t>董监高人员维护及月报任务扩展需求说明书</w:t>
      </w:r>
    </w:p>
    <w:p w14:paraId="33650B65">
      <w:pPr>
        <w:spacing w:after="360"/>
      </w:pPr>
      <w:r>
        <w:rPr>
          <w:rFonts w:ascii="Hiragino Sans GB" w:hAnsi="Hiragino Sans GB" w:eastAsia="Hiragino Sans GB"/>
          <w:color w:val="667085"/>
          <w:sz w:val="24"/>
        </w:rPr>
        <w:t>需求变更与页面说明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8888C0D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A124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文档信息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0CD5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 w14:paraId="628B35B5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5395F7">
            <w:r>
              <w:rPr>
                <w:rFonts w:ascii="Hiragino Sans GB" w:hAnsi="Hiragino Sans GB" w:eastAsia="Hiragino Sans GB"/>
                <w:color w:val="344054"/>
                <w:sz w:val="18"/>
              </w:rPr>
              <w:t>文档类型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9CA8AA">
            <w:r>
              <w:rPr>
                <w:rFonts w:ascii="Hiragino Sans GB" w:hAnsi="Hiragino Sans GB" w:eastAsia="Hiragino Sans GB"/>
                <w:color w:val="344054"/>
                <w:sz w:val="18"/>
              </w:rPr>
              <w:t>产品需求文档（PRD）</w:t>
            </w:r>
          </w:p>
        </w:tc>
      </w:tr>
      <w:tr w14:paraId="03FD0D0F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675A6E">
            <w:r>
              <w:rPr>
                <w:rFonts w:ascii="Hiragino Sans GB" w:hAnsi="Hiragino Sans GB" w:eastAsia="Hiragino Sans GB"/>
                <w:color w:val="344054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3E48A0">
            <w:r>
              <w:rPr>
                <w:rFonts w:ascii="Hiragino Sans GB" w:hAnsi="Hiragino Sans GB" w:eastAsia="Hiragino Sans GB"/>
                <w:color w:val="344054"/>
                <w:sz w:val="18"/>
              </w:rPr>
              <w:t>V1.0</w:t>
            </w:r>
          </w:p>
        </w:tc>
      </w:tr>
      <w:tr w14:paraId="03ED32DF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63C0B8">
            <w:r>
              <w:rPr>
                <w:rFonts w:ascii="Hiragino Sans GB" w:hAnsi="Hiragino Sans GB" w:eastAsia="Hiragino Sans GB"/>
                <w:color w:val="344054"/>
                <w:sz w:val="18"/>
              </w:rPr>
              <w:t>日期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C75B1C">
            <w:r>
              <w:rPr>
                <w:rFonts w:ascii="Hiragino Sans GB" w:hAnsi="Hiragino Sans GB" w:eastAsia="Hiragino Sans GB"/>
                <w:color w:val="344054"/>
                <w:sz w:val="18"/>
              </w:rPr>
              <w:t>2026年9月9日</w:t>
            </w:r>
          </w:p>
        </w:tc>
      </w:tr>
      <w:tr w14:paraId="4068A1D8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904336">
            <w:r>
              <w:rPr>
                <w:rFonts w:ascii="Hiragino Sans GB" w:hAnsi="Hiragino Sans GB" w:eastAsia="Hiragino Sans GB"/>
                <w:color w:val="344054"/>
                <w:sz w:val="18"/>
              </w:rPr>
              <w:t>适用对象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879D94">
            <w:pPr>
              <w:rPr>
                <w:rFonts w:hint="default" w:eastAsia="Hiragino Sans GB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管理者 股权运营部统筹人 资产交易室统筹人</w:t>
            </w:r>
          </w:p>
        </w:tc>
      </w:tr>
    </w:tbl>
    <w:p w14:paraId="15197A98"/>
    <w:p w14:paraId="5AE9B8D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1. 需求背景</w:t>
      </w:r>
    </w:p>
    <w:p w14:paraId="2A3E397B">
      <w:r>
        <w:rPr>
          <w:rFonts w:ascii="Hiragino Sans GB" w:hAnsi="Hiragino Sans GB" w:eastAsia="Hiragino Sans GB"/>
          <w:color w:val="344054"/>
          <w:sz w:val="21"/>
        </w:rPr>
        <w:t>现有董监高月报任务机制仅覆盖股权运营范围内的35家公司。随着资产交易室承担退出运营业务，需要将退出运营公司纳入月度任务生成、人员触达和页面数据权限体系。</w:t>
      </w:r>
    </w:p>
    <w:p w14:paraId="5ECF0907">
      <w:r>
        <w:rPr>
          <w:rFonts w:ascii="Hiragino Sans GB" w:hAnsi="Hiragino Sans GB" w:eastAsia="Hiragino Sans GB"/>
          <w:color w:val="344054"/>
          <w:sz w:val="21"/>
        </w:rPr>
        <w:t>本次新增“董监高人员维护”页面，用于维护管理者、运营部统筹人和交易室统筹人。角色配置结果将影响董事月报提报、董事月报复核、外派高管月报提报、外派高管月报复核四类任务页面的数据可见范围，并用于支持退出运营公司的月初任务发送。</w:t>
      </w:r>
    </w:p>
    <w:p w14:paraId="12E5CE4C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2. 建设目标</w:t>
      </w:r>
    </w:p>
    <w:p w14:paraId="569B9D6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建立覆盖股权运营与退出运营的统一角色权限体系。</w:t>
      </w:r>
    </w:p>
    <w:p w14:paraId="20E8537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保留现有股权运营35家公司的月报任务逻辑，并将退出运营公司纳入同一套月初任务机制。</w:t>
      </w:r>
    </w:p>
    <w:p w14:paraId="2A1CA7F8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通过人员维护页面完成三类统筹角色的人员选择和保存，不新增人员档案。</w:t>
      </w:r>
    </w:p>
    <w:p w14:paraId="4C26432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按角色和公司管户关系控制四类月报页面的数据范围。</w:t>
      </w:r>
    </w:p>
    <w:p w14:paraId="686EA69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确保管理者具有最高业务数据权限，可查看股权运营和退出运营全量数据。</w:t>
      </w:r>
    </w:p>
    <w:p w14:paraId="0D8AA69D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3. 需求范围</w:t>
      </w:r>
    </w:p>
    <w:p w14:paraId="04BDB038">
      <w:pPr>
        <w:pStyle w:val="4"/>
      </w:pPr>
      <w:r>
        <w:rPr>
          <w:rFonts w:ascii="Hiragino Sans GB" w:hAnsi="Hiragino Sans GB" w:eastAsia="Hiragino Sans GB"/>
        </w:rPr>
        <w:t>3.1 本期范围</w:t>
      </w:r>
    </w:p>
    <w:p w14:paraId="2886EDB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新增“董监高人员维护”路由及页面，路由地址为 `/personnelMaintain`。</w:t>
      </w:r>
    </w:p>
    <w:p w14:paraId="0F1D9BA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维护管理者、运营部统筹人、交易室统筹人三类角色。</w:t>
      </w:r>
    </w:p>
    <w:p w14:paraId="3F38BC9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新增退出运营公司的月初任务生成与发送范围。</w:t>
      </w:r>
    </w:p>
    <w:p w14:paraId="77927A3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调整四类月报页面的数据权限：董事月报提报、董事月报复核、外派高管月报提报、外派高管月报复核。</w:t>
      </w:r>
    </w:p>
    <w:p w14:paraId="29BF89B9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保留各公司管户只能查看本人维护公司数据的规则。</w:t>
      </w:r>
    </w:p>
    <w:p w14:paraId="4CC9CC64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4. 业务对象与术语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0C859FD">
        <w:trPr>
          <w:tblHeader/>
          <w:jc w:val="center"/>
        </w:trPr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2DBC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术语</w:t>
            </w:r>
          </w:p>
        </w:tc>
        <w:tc>
          <w:tcPr>
            <w:tcW w:w="4873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A5A6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定义</w:t>
            </w:r>
          </w:p>
        </w:tc>
      </w:tr>
      <w:tr w14:paraId="42C0D09E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14D67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4C3E7A">
            <w:r>
              <w:rPr>
                <w:rFonts w:ascii="Hiragino Sans GB" w:hAnsi="Hiragino Sans GB" w:eastAsia="Hiragino Sans GB"/>
                <w:color w:val="344054"/>
                <w:sz w:val="18"/>
              </w:rPr>
              <w:t>由股权运营部负责的公司业务范围，现有范围为35家公司</w:t>
            </w:r>
          </w:p>
        </w:tc>
      </w:tr>
      <w:tr w14:paraId="0B7F04BB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3578C7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853BEE">
            <w:r>
              <w:rPr>
                <w:rFonts w:ascii="Hiragino Sans GB" w:hAnsi="Hiragino Sans GB" w:eastAsia="Hiragino Sans GB"/>
                <w:color w:val="344054"/>
                <w:sz w:val="18"/>
              </w:rPr>
              <w:t>由资产交易室负责的公司业务范围，本次新增纳入月报任务机制</w:t>
            </w:r>
          </w:p>
        </w:tc>
      </w:tr>
      <w:tr w14:paraId="20859827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4A2343">
            <w:r>
              <w:rPr>
                <w:rFonts w:ascii="Hiragino Sans GB" w:hAnsi="Hiragino Sans GB" w:eastAsia="Hiragino Sans GB"/>
                <w:color w:val="344054"/>
                <w:sz w:val="18"/>
              </w:rPr>
              <w:t>管户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ECF445">
            <w:r>
              <w:rPr>
                <w:rFonts w:ascii="Hiragino Sans GB" w:hAnsi="Hiragino Sans GB" w:eastAsia="Hiragino Sans GB"/>
                <w:color w:val="344054"/>
                <w:sz w:val="18"/>
              </w:rPr>
              <w:t>负责维护具体公司的业务人员，权限按其维护公司划分</w:t>
            </w:r>
          </w:p>
        </w:tc>
      </w:tr>
      <w:tr w14:paraId="04D2F0CA">
        <w:trPr>
          <w:jc w:val="center"/>
        </w:trPr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683B26">
            <w:r>
              <w:rPr>
                <w:rFonts w:ascii="Hiragino Sans GB" w:hAnsi="Hiragino Sans GB" w:eastAsia="Hiragino Sans GB"/>
                <w:color w:val="344054"/>
                <w:sz w:val="18"/>
              </w:rPr>
              <w:t>统筹人</w:t>
            </w:r>
          </w:p>
        </w:tc>
        <w:tc>
          <w:tcPr>
            <w:tcW w:w="4873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BC18EE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可查看本部门所负责业务范围内全部公司数据的人员</w:t>
            </w:r>
          </w:p>
        </w:tc>
      </w:tr>
      <w:tr w14:paraId="7186F23D">
        <w:trPr>
          <w:jc w:val="center"/>
        </w:trPr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F5B79C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48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13317">
            <w:r>
              <w:rPr>
                <w:rFonts w:ascii="Hiragino Sans GB" w:hAnsi="Hiragino Sans GB" w:eastAsia="Hiragino Sans GB"/>
                <w:color w:val="344054"/>
                <w:sz w:val="18"/>
              </w:rPr>
              <w:t>高于两个部门的全局管理角色，可查看两个业务范围的全部数据</w:t>
            </w:r>
          </w:p>
        </w:tc>
      </w:tr>
    </w:tbl>
    <w:p w14:paraId="37472E6E"/>
    <w:p w14:paraId="5B64D51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5. 角色关系与数据权限</w:t>
      </w:r>
    </w:p>
    <w:p w14:paraId="1B231C95">
      <w:pPr>
        <w:pStyle w:val="4"/>
      </w:pPr>
      <w:r>
        <w:rPr>
          <w:rFonts w:ascii="Hiragino Sans GB" w:hAnsi="Hiragino Sans GB" w:eastAsia="Hiragino Sans GB"/>
        </w:rPr>
        <w:t>5.1 角色层级</w:t>
      </w:r>
    </w:p>
    <w:p w14:paraId="53263072">
      <w:r>
        <w:rPr>
          <w:rFonts w:ascii="Hiragino Sans GB" w:hAnsi="Hiragino Sans GB" w:eastAsia="Hiragino Sans GB"/>
          <w:color w:val="344054"/>
          <w:sz w:val="21"/>
        </w:rPr>
        <w:t>角色关系明确为：管理者 &gt; 部门统筹人 &gt; 公司管户。</w:t>
      </w:r>
    </w:p>
    <w:p w14:paraId="6D047D82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管理者位于股权运营部和资产交易室之上，覆盖两个部门的业务数据。</w:t>
      </w:r>
    </w:p>
    <w:p w14:paraId="51D11101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部门统筹人分为运营部统筹人、交易室统筹人，二者处于同一层级，分别覆盖本部门业务范围。</w:t>
      </w:r>
    </w:p>
    <w:p w14:paraId="60D964FD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公司管户按公司维度获得权限，只能查看本人维护公司的数据。</w:t>
      </w:r>
    </w:p>
    <w:p w14:paraId="71ED893E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董事、外派高管属于月报任务执行对象，不等同于上述数据统筹角色。</w:t>
      </w:r>
    </w:p>
    <w:p w14:paraId="19B208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congshengyuan</w:t>
      </w:r>
    </w:p>
    <w:p w14:paraId="05CF7D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yangbaijun</w:t>
      </w:r>
    </w:p>
    <w:p w14:paraId="2BAF30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luzhengming</w:t>
      </w:r>
    </w:p>
    <w:p w14:paraId="424706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huangguoping</w:t>
      </w:r>
    </w:p>
    <w:p w14:paraId="2AB568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gaochi</w:t>
      </w:r>
    </w:p>
    <w:p w14:paraId="0D7504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xuhongsheng</w:t>
      </w:r>
    </w:p>
    <w:p w14:paraId="59252F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wenyan</w:t>
      </w:r>
    </w:p>
    <w:p w14:paraId="6BC5FF88">
      <w:pPr>
        <w:keepNext w:val="0"/>
        <w:keepLines w:val="0"/>
        <w:widowControl/>
        <w:suppressLineNumbers w:val="0"/>
        <w:jc w:val="left"/>
        <w:rPr>
          <w:rFonts w:hint="default" w:eastAsia="Hiragino Sans GB"/>
          <w:lang w:val="en-US" w:eastAsia="zh-CN"/>
        </w:rPr>
      </w:pPr>
      <w:r>
        <w:rPr>
          <w:rFonts w:hint="eastAsia"/>
          <w:lang w:val="en-US" w:eastAsia="zh-CN"/>
        </w:rPr>
        <w:t>上面默认为股权运营统筹人角色</w:t>
      </w:r>
    </w:p>
    <w:p w14:paraId="3D913F1C">
      <w:pPr>
        <w:pStyle w:val="16"/>
      </w:pPr>
      <w:r>
        <w:rPr>
          <w:rFonts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liuhongyan</w:t>
      </w:r>
    </w:p>
    <w:p w14:paraId="067A50F2">
      <w:pPr>
        <w:pStyle w:val="16"/>
        <w:numPr>
          <w:numId w:val="0"/>
        </w:numPr>
        <w:ind w:leftChars="0"/>
      </w:pPr>
      <w:r>
        <w:rPr>
          <w:rFonts w:hint="eastAsia" w:ascii="宋体" w:hAnsi="宋体" w:eastAsia="宋体" w:cs="宋体"/>
          <w:color w:val="344054"/>
          <w:kern w:val="0"/>
          <w:sz w:val="24"/>
          <w:szCs w:val="24"/>
          <w:lang w:val="en-US" w:eastAsia="zh-CN" w:bidi="ar"/>
        </w:rPr>
        <w:t>上面默认为管理者角色</w:t>
      </w:r>
    </w:p>
    <w:p w14:paraId="78A54CEC">
      <w:pPr>
        <w:pStyle w:val="4"/>
      </w:pPr>
      <w:r>
        <w:rPr>
          <w:rFonts w:ascii="Hiragino Sans GB" w:hAnsi="Hiragino Sans GB" w:eastAsia="Hiragino Sans GB"/>
        </w:rPr>
        <w:t>5.2 权限矩阵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06E4B9AF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4C224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D667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组织归属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7A8D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可见业务范围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F069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可见公司范围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A9DA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权限说明</w:t>
            </w:r>
          </w:p>
        </w:tc>
      </w:tr>
      <w:tr w14:paraId="18752D11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A64BE7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8EFA87">
            <w:r>
              <w:rPr>
                <w:rFonts w:ascii="Hiragino Sans GB" w:hAnsi="Hiragino Sans GB" w:eastAsia="Hiragino Sans GB"/>
                <w:color w:val="344054"/>
                <w:sz w:val="18"/>
              </w:rPr>
              <w:t>全局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FBFA0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A59DC0">
            <w:r>
              <w:rPr>
                <w:rFonts w:ascii="Hiragino Sans GB" w:hAnsi="Hiragino Sans GB" w:eastAsia="Hiragino Sans GB"/>
                <w:color w:val="344054"/>
                <w:sz w:val="18"/>
              </w:rPr>
              <w:t>两类业务全部公司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3599F9">
            <w:r>
              <w:rPr>
                <w:rFonts w:ascii="Hiragino Sans GB" w:hAnsi="Hiragino Sans GB" w:eastAsia="Hiragino Sans GB"/>
                <w:color w:val="344054"/>
                <w:sz w:val="18"/>
              </w:rPr>
              <w:t>最高权限，可查看两个部门全部数据</w:t>
            </w:r>
          </w:p>
        </w:tc>
      </w:tr>
      <w:tr w14:paraId="179CCA50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F1D5C0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A2A8FB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2CB449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436E1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股权运营全部公司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859C2D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可查看股权运营全量数据</w:t>
            </w:r>
          </w:p>
        </w:tc>
      </w:tr>
      <w:tr w14:paraId="195B3FB9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403300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485EDB">
            <w:r>
              <w:rPr>
                <w:rFonts w:ascii="Hiragino Sans GB" w:hAnsi="Hiragino Sans GB" w:eastAsia="Hiragino Sans GB"/>
                <w:color w:val="344054"/>
                <w:sz w:val="18"/>
              </w:rPr>
              <w:t>资产交易室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6070D5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858897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退出运营全部公司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3549C2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可查看退出运营全量数据</w:t>
            </w:r>
          </w:p>
        </w:tc>
      </w:tr>
      <w:tr w14:paraId="38FF59C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E7988E">
            <w:r>
              <w:rPr>
                <w:rFonts w:ascii="Hiragino Sans GB" w:hAnsi="Hiragino Sans GB" w:eastAsia="Hiragino Sans GB"/>
                <w:color w:val="344054"/>
                <w:sz w:val="18"/>
              </w:rPr>
              <w:t>各公司管户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AD843A">
            <w:r>
              <w:rPr>
                <w:rFonts w:ascii="Hiragino Sans GB" w:hAnsi="Hiragino Sans GB" w:eastAsia="Hiragino Sans GB"/>
                <w:color w:val="344054"/>
                <w:sz w:val="18"/>
              </w:rPr>
              <w:t>对应公司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A0D758">
            <w:r>
              <w:rPr>
                <w:rFonts w:ascii="Hiragino Sans GB" w:hAnsi="Hiragino Sans GB" w:eastAsia="Hiragino Sans GB"/>
                <w:color w:val="344054"/>
                <w:sz w:val="18"/>
              </w:rPr>
              <w:t>按所维护公司归属确定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4A39E7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本人维护的公司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FBBDE0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不得查看未维护公司的数据</w:t>
            </w:r>
          </w:p>
        </w:tc>
      </w:tr>
    </w:tbl>
    <w:p w14:paraId="042559A7"/>
    <w:p w14:paraId="3D755AC3">
      <w:pPr>
        <w:pStyle w:val="4"/>
      </w:pPr>
      <w:r>
        <w:rPr>
          <w:rFonts w:ascii="Hiragino Sans GB" w:hAnsi="Hiragino Sans GB" w:eastAsia="Hiragino Sans GB"/>
        </w:rPr>
        <w:t>5.3 权限判定原则</w:t>
      </w:r>
    </w:p>
    <w:p w14:paraId="5938CB4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管理者权限覆盖运营部统筹人和交易室统筹人的数据范围。</w:t>
      </w:r>
    </w:p>
    <w:p w14:paraId="34E58D9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运营部统筹人无权查看仅属于退出运营范围的数据。</w:t>
      </w:r>
    </w:p>
    <w:p w14:paraId="20D5C72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交易室统筹人无权查看仅属于股权运营范围的数据。</w:t>
      </w:r>
    </w:p>
    <w:p w14:paraId="64F4AF7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公司管户的数据范围由公司维护关系决定，不因公司属于股权运营或退出运营而扩大。</w:t>
      </w:r>
    </w:p>
    <w:p w14:paraId="36C9CC6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同一人员</w:t>
      </w:r>
      <w:r>
        <w:rPr>
          <w:rFonts w:hint="eastAsia"/>
          <w:color w:val="344054"/>
          <w:sz w:val="21"/>
          <w:lang w:val="en-US" w:eastAsia="zh-CN"/>
        </w:rPr>
        <w:t>有且只能有同一个角色</w:t>
      </w:r>
    </w:p>
    <w:p w14:paraId="30D38716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6. 董监高人员维护页面</w:t>
      </w:r>
    </w:p>
    <w:p w14:paraId="3291EEDD">
      <w:pPr>
        <w:pStyle w:val="4"/>
      </w:pPr>
      <w:r>
        <w:rPr>
          <w:rFonts w:ascii="Hiragino Sans GB" w:hAnsi="Hiragino Sans GB" w:eastAsia="Hiragino Sans GB"/>
        </w:rPr>
        <w:t>6.1 页面入口</w:t>
      </w:r>
    </w:p>
    <w:p w14:paraId="3B70D45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页面名称：董监高人员维护</w:t>
      </w:r>
    </w:p>
    <w:p w14:paraId="5732FB31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路由地址：`/personnelMaintain`</w:t>
      </w:r>
    </w:p>
    <w:p w14:paraId="0F94D84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菜单位置：权限管理模块下</w:t>
      </w:r>
    </w:p>
    <w:p w14:paraId="62B01A4F">
      <w:pPr>
        <w:pStyle w:val="4"/>
      </w:pPr>
      <w:r>
        <w:rPr>
          <w:rFonts w:ascii="Hiragino Sans GB" w:hAnsi="Hiragino Sans GB" w:eastAsia="Hiragino Sans GB"/>
        </w:rPr>
        <w:t>6.2 页面布局</w:t>
      </w:r>
    </w:p>
    <w:p w14:paraId="53403BA4">
      <w:r>
        <w:rPr>
          <w:rFonts w:ascii="Hiragino Sans GB" w:hAnsi="Hiragino Sans GB" w:eastAsia="Hiragino Sans GB"/>
          <w:color w:val="344054"/>
          <w:sz w:val="21"/>
        </w:rPr>
        <w:t>页面采用左右分栏布局：</w:t>
      </w:r>
    </w:p>
    <w:p w14:paraId="6330248B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左侧为角色与部门目录，包括全局角色“管理者”，以及部门目录“股权运营部”“资产交易室”。</w:t>
      </w:r>
    </w:p>
    <w:p w14:paraId="15F8E19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股权运营部对应“运营部统筹人”，管理股权运营数据。</w:t>
      </w:r>
    </w:p>
    <w:p w14:paraId="777D5CB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资产交易室对应“交易室统筹人”，管理退出运营数据。</w:t>
      </w:r>
    </w:p>
    <w:p w14:paraId="5507377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右侧为人员选择列表，展示人员姓名、账号、所属组织、当前角色和数据范围等信息。</w:t>
      </w:r>
    </w:p>
    <w:p w14:paraId="4522EC3D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页面底部固定展示已选人数和“保存”按钮。</w:t>
      </w:r>
    </w:p>
    <w:p w14:paraId="3A266A0E">
      <w:pPr>
        <w:pStyle w:val="4"/>
      </w:pPr>
      <w:r>
        <w:rPr>
          <w:rFonts w:ascii="Hiragino Sans GB" w:hAnsi="Hiragino Sans GB" w:eastAsia="Hiragino Sans GB"/>
        </w:rPr>
        <w:t>6.3 交互规则</w:t>
      </w:r>
    </w:p>
    <w:p w14:paraId="76BC267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用户点击左侧“管理者”“股权运营部”或“资产交易室”后，右侧切换到对应角色的人员配置状态。</w:t>
      </w:r>
    </w:p>
    <w:p w14:paraId="76D4077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右侧展示全部可选人员，人员获取方式与现有权限管理页面保持一致。</w:t>
      </w:r>
    </w:p>
    <w:p w14:paraId="2869509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支持按姓名、账号或组织查询；点击“重置”恢复完整列表。</w:t>
      </w:r>
    </w:p>
    <w:p w14:paraId="0CBB3FF3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通过复选框选择或取消人员。页面不提供“新增人员”入口，不创建新的人员档案。</w:t>
      </w:r>
    </w:p>
    <w:p w14:paraId="1846ED1E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底部实时显示当前角色已选择的人数。</w:t>
      </w:r>
    </w:p>
    <w:p w14:paraId="2464C3F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点击“保存”后，保存当前角色对应的人员配置，并刷新列表中的当前角色和数据范围。</w:t>
      </w:r>
    </w:p>
    <w:p w14:paraId="2776FAB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切换左侧角色前，如当前选择存在未保存变化，应进行离开提示，避免误丢配置。</w:t>
      </w:r>
    </w:p>
    <w:p w14:paraId="4FB455D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保存成功后给出成功反馈；保存失败时保留当前选择并展示失败原因。</w:t>
      </w:r>
    </w:p>
    <w:p w14:paraId="5C686F2B">
      <w:pPr>
        <w:pStyle w:val="4"/>
      </w:pPr>
      <w:r>
        <w:rPr>
          <w:rFonts w:ascii="Hiragino Sans GB" w:hAnsi="Hiragino Sans GB" w:eastAsia="Hiragino Sans GB"/>
        </w:rPr>
        <w:t>6.4 页面状态说明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CBEB93C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CD58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左侧选中项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4021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配置角色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AFB9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数据范围文案</w:t>
            </w:r>
          </w:p>
        </w:tc>
      </w:tr>
      <w:tr w14:paraId="75C7ABB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6D4482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F5DD9D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F18DE2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股权运营和退出运营全部数据</w:t>
            </w:r>
          </w:p>
        </w:tc>
      </w:tr>
      <w:tr w14:paraId="07559D10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997FE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4AD533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A4002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股权运营全部数据</w:t>
            </w:r>
          </w:p>
        </w:tc>
      </w:tr>
      <w:tr w14:paraId="7062B05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4CCB3E">
            <w:r>
              <w:rPr>
                <w:rFonts w:ascii="Hiragino Sans GB" w:hAnsi="Hiragino Sans GB" w:eastAsia="Hiragino Sans GB"/>
                <w:color w:val="344054"/>
                <w:sz w:val="18"/>
              </w:rPr>
              <w:t>资产交易室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0DEDA8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DEF2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退出运营全部数据</w:t>
            </w:r>
          </w:p>
        </w:tc>
      </w:tr>
    </w:tbl>
    <w:p w14:paraId="74261968"/>
    <w:p w14:paraId="68744FDB">
      <w:pPr>
        <w:pStyle w:val="4"/>
      </w:pPr>
      <w:r>
        <w:rPr>
          <w:rFonts w:ascii="Hiragino Sans GB" w:hAnsi="Hiragino Sans GB" w:eastAsia="Hiragino Sans GB"/>
        </w:rPr>
        <w:t>6.5 页面效果参考</w:t>
      </w:r>
    </w:p>
    <w:p w14:paraId="223DD128">
      <w:pPr>
        <w:pStyle w:val="4"/>
      </w:pPr>
      <w:r>
        <w:rPr>
          <w:rFonts w:ascii="Hiragino Sans GB" w:hAnsi="Hiragino Sans GB" w:eastAsia="Hiragino Sans GB"/>
        </w:rPr>
        <w:t>6.5.1 管理者页面截图</w:t>
      </w:r>
    </w:p>
    <w:p w14:paraId="2142F662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3329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830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管理者页面效果</w:t>
      </w:r>
    </w:p>
    <w:p w14:paraId="5222EBA7">
      <w:pPr>
        <w:pStyle w:val="4"/>
      </w:pPr>
      <w:r>
        <w:rPr>
          <w:rFonts w:ascii="Hiragino Sans GB" w:hAnsi="Hiragino Sans GB" w:eastAsia="Hiragino Sans GB"/>
        </w:rPr>
        <w:t>6.5.2 股权运营部页面截图</w:t>
      </w:r>
    </w:p>
    <w:p w14:paraId="25480FDF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425700"/>
            <wp:effectExtent l="0" t="0" r="19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3BAE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股权运营部页面效果</w:t>
      </w:r>
    </w:p>
    <w:p w14:paraId="59837458">
      <w:pPr>
        <w:pStyle w:val="4"/>
      </w:pPr>
      <w:r>
        <w:rPr>
          <w:rFonts w:ascii="Hiragino Sans GB" w:hAnsi="Hiragino Sans GB" w:eastAsia="Hiragino Sans GB"/>
        </w:rPr>
        <w:t>6.5.3 资产交易室页面截图</w:t>
      </w:r>
    </w:p>
    <w:p w14:paraId="45B26051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45427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6053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资产交易室页面效果</w:t>
      </w:r>
    </w:p>
    <w:p w14:paraId="136ED8AB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7. 月报任务扩展</w:t>
      </w:r>
    </w:p>
    <w:p w14:paraId="03DA6315">
      <w:pPr>
        <w:pStyle w:val="4"/>
      </w:pPr>
      <w:r>
        <w:rPr>
          <w:rFonts w:ascii="Hiragino Sans GB" w:hAnsi="Hiragino Sans GB" w:eastAsia="Hiragino Sans GB"/>
        </w:rPr>
        <w:t>7.1 现状与调整后范围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EEE6505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40AA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69B8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调整前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2AF7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调整后</w:t>
            </w:r>
          </w:p>
        </w:tc>
      </w:tr>
      <w:tr w14:paraId="23A4065A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8AB76C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股权运营公司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1AF983">
            <w:r>
              <w:rPr>
                <w:rFonts w:ascii="Hiragino Sans GB" w:hAnsi="Hiragino Sans GB" w:eastAsia="Hiragino Sans GB"/>
                <w:color w:val="344054"/>
                <w:sz w:val="18"/>
              </w:rPr>
              <w:t>已覆盖35家公司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8ADB93">
            <w:r>
              <w:rPr>
                <w:rFonts w:ascii="Hiragino Sans GB" w:hAnsi="Hiragino Sans GB" w:eastAsia="Hiragino Sans GB"/>
                <w:color w:val="344054"/>
                <w:sz w:val="18"/>
              </w:rPr>
              <w:t>保持现有逻辑和范围</w:t>
            </w:r>
          </w:p>
        </w:tc>
      </w:tr>
      <w:tr w14:paraId="1A763A02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A23D3B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CC73A8">
            <w:r>
              <w:rPr>
                <w:rFonts w:ascii="Hiragino Sans GB" w:hAnsi="Hiragino Sans GB" w:eastAsia="Hiragino Sans GB"/>
                <w:color w:val="344054"/>
                <w:sz w:val="18"/>
              </w:rPr>
              <w:t>未纳入或覆盖不完整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790EB6">
            <w:r>
              <w:rPr>
                <w:rFonts w:ascii="Hiragino Sans GB" w:hAnsi="Hiragino Sans GB" w:eastAsia="Hiragino Sans GB"/>
                <w:color w:val="344054"/>
                <w:sz w:val="18"/>
              </w:rPr>
              <w:t>纳入月初任务生成与发送</w:t>
            </w:r>
          </w:p>
        </w:tc>
      </w:tr>
      <w:tr w14:paraId="07691A74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FE1E2F">
            <w:r>
              <w:rPr>
                <w:rFonts w:ascii="Hiragino Sans GB" w:hAnsi="Hiragino Sans GB" w:eastAsia="Hiragino Sans GB"/>
                <w:color w:val="344054"/>
                <w:sz w:val="18"/>
              </w:rPr>
              <w:t>统筹角色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AE919E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股权运营相关角色为主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D8CF0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增加交易室统筹人，并增加管理者的跨部门全量权限</w:t>
            </w:r>
          </w:p>
        </w:tc>
      </w:tr>
      <w:tr w14:paraId="21B1F0F3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6F4535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公司管户权限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698D66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查看本人维护公司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EF2B22">
            <w:r>
              <w:rPr>
                <w:rFonts w:ascii="Hiragino Sans GB" w:hAnsi="Hiragino Sans GB" w:eastAsia="Hiragino Sans GB"/>
                <w:color w:val="344054"/>
                <w:sz w:val="18"/>
              </w:rPr>
              <w:t>规则保持，并适用于退出运营公司</w:t>
            </w:r>
          </w:p>
        </w:tc>
      </w:tr>
    </w:tbl>
    <w:p w14:paraId="56426279"/>
    <w:p w14:paraId="0F27F31F">
      <w:pPr>
        <w:pStyle w:val="4"/>
      </w:pPr>
      <w:r>
        <w:rPr>
          <w:rFonts w:ascii="Hiragino Sans GB" w:hAnsi="Hiragino Sans GB" w:eastAsia="Hiragino Sans GB"/>
        </w:rPr>
        <w:t>7.2 月初任务生成规则</w:t>
      </w:r>
    </w:p>
    <w:p w14:paraId="5D3D9699">
      <w:r>
        <w:rPr>
          <w:rFonts w:ascii="Hiragino Sans GB" w:hAnsi="Hiragino Sans GB" w:eastAsia="Hiragino Sans GB"/>
          <w:color w:val="344054"/>
          <w:sz w:val="21"/>
        </w:rPr>
        <w:t>每月月初，系统应同时处理股权运营公司和退出运营公司。针对纳入范围的每家公司，读取有效的董事、公司管户和外派高管人员关系，生成并发送相应月报任务。</w:t>
      </w:r>
    </w:p>
    <w:p w14:paraId="7A0F931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股权运营35家公司继续按现有规则生成任务。</w:t>
      </w:r>
    </w:p>
    <w:p w14:paraId="6B657D52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退出运营公司新增同类任务生成逻辑。</w:t>
      </w:r>
    </w:p>
    <w:p w14:paraId="68C55621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任务需发送至对应公司的董事、管户和外派高管。</w:t>
      </w:r>
    </w:p>
    <w:p w14:paraId="26955584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人员与公司关系以任务生成时的有效维护关系为准。</w:t>
      </w:r>
    </w:p>
    <w:p w14:paraId="482C4C3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同一公司、同一月份、同一任务类型、同一执行人不得重复生成任务。</w:t>
      </w:r>
    </w:p>
    <w:p w14:paraId="04361E3B">
      <w:pPr>
        <w:pStyle w:val="4"/>
      </w:pPr>
      <w:r>
        <w:rPr>
          <w:rFonts w:ascii="Hiragino Sans GB" w:hAnsi="Hiragino Sans GB" w:eastAsia="Hiragino Sans GB"/>
        </w:rPr>
        <w:t>7.3 四类任务与执行对象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A76B518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364D0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任务页面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5C66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主要执行对象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32C6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本次调整</w:t>
            </w:r>
          </w:p>
        </w:tc>
      </w:tr>
      <w:tr w14:paraId="2298406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498E22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7EB910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3DAAC4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退出运营公司的董事也应收到对应任务</w:t>
            </w:r>
          </w:p>
        </w:tc>
      </w:tr>
      <w:tr w14:paraId="1C53219E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7EA132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B72598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3F665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退出运营公司的管户也应收到对应任务</w:t>
            </w:r>
          </w:p>
        </w:tc>
      </w:tr>
      <w:tr w14:paraId="0E83D19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2935C7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77B481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B6641A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退出运营公司的外派高管也应收到对应任务</w:t>
            </w:r>
          </w:p>
        </w:tc>
      </w:tr>
      <w:tr w14:paraId="5535CDFB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B58FA9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FF024F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54C9E1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退出运营公司纳入任务范围；复核执行对象需业务最终确认</w:t>
            </w:r>
          </w:p>
        </w:tc>
      </w:tr>
    </w:tbl>
    <w:p w14:paraId="1BF2B260"/>
    <w:p w14:paraId="0B7B8230">
      <w:pPr>
        <w:pStyle w:val="4"/>
      </w:pPr>
      <w:r>
        <w:rPr>
          <w:rFonts w:ascii="Hiragino Sans GB" w:hAnsi="Hiragino Sans GB" w:eastAsia="Hiragino Sans GB"/>
        </w:rPr>
        <w:t>7.4 四类页面的数据可见范围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44855C9E">
        <w:trPr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5DAD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登录人员身份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8280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董事月报提报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F6D7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董事月报复核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4D8E5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外派高管月报提报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791F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外派高管月报复核</w:t>
            </w:r>
          </w:p>
        </w:tc>
      </w:tr>
      <w:tr w14:paraId="5488BA1B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DEF035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管理者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A2AE51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BB8476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B9284C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FE60FA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股权运营、退出运营全量数据</w:t>
            </w:r>
          </w:p>
        </w:tc>
      </w:tr>
      <w:tr w14:paraId="271FF9B7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9F555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运营部统筹人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18160E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457801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5AF5B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E6FE65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股权运营全量数据</w:t>
            </w:r>
          </w:p>
        </w:tc>
      </w:tr>
      <w:tr w14:paraId="6491CF49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B53D31">
            <w:r>
              <w:rPr>
                <w:rFonts w:ascii="Hiragino Sans GB" w:hAnsi="Hiragino Sans GB" w:eastAsia="Hiragino Sans GB"/>
                <w:color w:val="344054"/>
                <w:sz w:val="18"/>
              </w:rPr>
              <w:t>交易室统筹人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F06355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B52EED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637830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697603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退出运营全量数据</w:t>
            </w:r>
          </w:p>
        </w:tc>
      </w:tr>
      <w:tr w14:paraId="6E20D4AA">
        <w:trPr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26B69E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公司管户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59A8F3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6C4B82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056D00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A9A929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本人维护公司数据</w:t>
            </w:r>
          </w:p>
        </w:tc>
      </w:tr>
      <w:tr w14:paraId="56D224AD">
        <w:trPr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3D9DB8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任务执行人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8DBCEB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4BC24A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5EF47B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081D26">
            <w:r>
              <w:rPr>
                <w:rFonts w:ascii="Hiragino Sans GB" w:hAnsi="Hiragino Sans GB" w:eastAsia="Hiragino Sans GB"/>
                <w:color w:val="344054"/>
                <w:sz w:val="18"/>
              </w:rPr>
              <w:t>本人应处理的任务</w:t>
            </w:r>
          </w:p>
        </w:tc>
      </w:tr>
    </w:tbl>
    <w:p w14:paraId="7F9AD8A4"/>
    <w:p w14:paraId="3C77C2E4">
      <w:pPr>
        <w:pStyle w:val="4"/>
      </w:pPr>
      <w:r>
        <w:rPr>
          <w:rFonts w:ascii="Hiragino Sans GB" w:hAnsi="Hiragino Sans GB" w:eastAsia="Hiragino Sans GB"/>
        </w:rPr>
        <w:t>7.5 任务页面参考</w:t>
      </w:r>
    </w:p>
    <w:p w14:paraId="7114DD7A">
      <w:pPr>
        <w:rPr>
          <w:rFonts w:ascii="Hiragino Sans GB" w:hAnsi="Hiragino Sans GB" w:eastAsia="Hiragino Sans GB"/>
          <w:color w:val="344054"/>
          <w:sz w:val="21"/>
        </w:rPr>
      </w:pPr>
      <w:r>
        <w:rPr>
          <w:rFonts w:ascii="Hiragino Sans GB" w:hAnsi="Hiragino Sans GB" w:eastAsia="Hiragino Sans GB"/>
          <w:color w:val="344054"/>
          <w:sz w:val="21"/>
        </w:rPr>
        <w:t>现有月报任务页面的列表结构、筛选条件、任务状态和操作入口保持现有设计，本次主要扩展公司范围、任务接收人范围和数据权限。</w:t>
      </w:r>
    </w:p>
    <w:p w14:paraId="6B10A9AF">
      <w:pPr>
        <w:keepNext w:val="0"/>
        <w:keepLines w:val="0"/>
        <w:widowControl/>
        <w:suppressLineNumbers w:val="0"/>
        <w:jc w:val="left"/>
        <w:rPr>
          <w:rFonts w:hint="default" w:ascii="Hiragino Sans GB" w:hAnsi="Hiragino Sans GB" w:eastAsia="Hiragino Sans GB"/>
          <w:color w:val="344054"/>
          <w:sz w:val="21"/>
          <w:highlight w:val="red"/>
          <w:lang w:val="en-US" w:eastAsia="zh-CN"/>
        </w:rPr>
      </w:pPr>
      <w:r>
        <w:rPr>
          <w:rFonts w:hint="eastAsia"/>
          <w:color w:val="344054"/>
          <w:sz w:val="21"/>
          <w:highlight w:val="red"/>
          <w:lang w:val="en-US" w:eastAsia="zh-CN"/>
        </w:rPr>
        <w:t>注意：管理者角色查看页面的时候应该有部门筛选搜索条件，</w:t>
      </w:r>
      <w:r>
        <w:rPr>
          <w:rFonts w:ascii="宋体" w:hAnsi="宋体" w:eastAsia="宋体" w:cs="宋体"/>
          <w:color w:val="344054"/>
          <w:kern w:val="0"/>
          <w:sz w:val="24"/>
          <w:szCs w:val="24"/>
          <w:highlight w:val="red"/>
          <w:lang w:val="en-US" w:eastAsia="zh-CN" w:bidi="ar"/>
        </w:rPr>
        <w:t>筛选器【股权运营】、【退出运营】</w:t>
      </w:r>
      <w:bookmarkStart w:id="0" w:name="_GoBack"/>
      <w:bookmarkEnd w:id="0"/>
    </w:p>
    <w:p w14:paraId="3926465C">
      <w:pPr>
        <w:keepNext/>
        <w:jc w:val="center"/>
      </w:pPr>
      <w:r>
        <w:rPr>
          <w:rFonts w:ascii="Hiragino Sans GB" w:hAnsi="Hiragino Sans GB" w:eastAsia="Hiragino Sans GB"/>
        </w:rPr>
        <w:drawing>
          <wp:inline distT="0" distB="0" distL="114300" distR="114300">
            <wp:extent cx="5687695" cy="2560955"/>
            <wp:effectExtent l="0" t="0" r="190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6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73D6">
      <w:pPr>
        <w:spacing w:after="160"/>
        <w:jc w:val="center"/>
      </w:pPr>
      <w:r>
        <w:rPr>
          <w:rFonts w:ascii="Hiragino Sans GB" w:hAnsi="Hiragino Sans GB" w:eastAsia="Hiragino Sans GB"/>
          <w:color w:val="667085"/>
          <w:sz w:val="16"/>
        </w:rPr>
        <w:t>现有外派高管月报提报页面</w:t>
      </w:r>
    </w:p>
    <w:p w14:paraId="2D84396C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8. 核心业务流程</w:t>
      </w:r>
    </w:p>
    <w:p w14:paraId="479A27D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权限管理员在“董监高人员维护”页面配置管理者、运营部统筹人和交易室统筹人并保存。</w:t>
      </w:r>
    </w:p>
    <w:p w14:paraId="296DC5B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系统保留公司与管户、董事、外派高管的有效人员关系。</w:t>
      </w:r>
    </w:p>
    <w:p w14:paraId="5D5C8186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每月月初，系统分别取得股权运营公司和退出运营公司清单。</w:t>
      </w:r>
    </w:p>
    <w:p w14:paraId="4A332BD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系统按公司和人员关系生成董事提报、董事复核、外派高管提报、外派高管复核任务。</w:t>
      </w:r>
    </w:p>
    <w:p w14:paraId="723B6F5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任务执行人进入对应页面处理本人任务。</w:t>
      </w:r>
    </w:p>
    <w:p w14:paraId="365EDD29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管理者、部门统筹人和公司管户进入四类页面时，系统按角色权限过滤可见数据。</w:t>
      </w:r>
    </w:p>
    <w:p w14:paraId="0ED7EB3D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9. 页面与系统影响范围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D2C3042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53BF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模块/页面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9577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影响类型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AA99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调整内容</w:t>
            </w:r>
          </w:p>
        </w:tc>
      </w:tr>
      <w:tr w14:paraId="71C6D00D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095327">
            <w:r>
              <w:rPr>
                <w:rFonts w:ascii="Hiragino Sans GB" w:hAnsi="Hiragino Sans GB" w:eastAsia="Hiragino Sans GB"/>
                <w:color w:val="344054"/>
                <w:sz w:val="18"/>
              </w:rPr>
              <w:t>权限管理路由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5A9B7B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90C0AC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 `/personnelMaintain` 路由</w:t>
            </w:r>
          </w:p>
        </w:tc>
      </w:tr>
      <w:tr w14:paraId="4384E78E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78131E">
            <w:r>
              <w:rPr>
                <w:rFonts w:ascii="Hiragino Sans GB" w:hAnsi="Hiragino Sans GB" w:eastAsia="Hiragino Sans GB"/>
                <w:color w:val="344054"/>
                <w:sz w:val="18"/>
              </w:rPr>
              <w:t>董监高人员维护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4560B4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5BC497">
            <w:r>
              <w:rPr>
                <w:rFonts w:ascii="Hiragino Sans GB" w:hAnsi="Hiragino Sans GB" w:eastAsia="Hiragino Sans GB"/>
                <w:color w:val="344054"/>
                <w:sz w:val="18"/>
              </w:rPr>
              <w:t>三类角色的人员选择、查询、重置和保存</w:t>
            </w:r>
          </w:p>
        </w:tc>
      </w:tr>
      <w:tr w14:paraId="1FA32BA1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8D1FC9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25EE00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804DD4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7B2D611D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B85618">
            <w:r>
              <w:rPr>
                <w:rFonts w:ascii="Hiragino Sans GB" w:hAnsi="Hiragino Sans GB" w:eastAsia="Hiragino Sans GB"/>
                <w:color w:val="344054"/>
                <w:sz w:val="18"/>
              </w:rPr>
              <w:t>董事月报复核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45A8F8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9BC1E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118C83BE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9293D6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外派高管月报提报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582D1F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1DBEF0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5543B4B7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D49C27">
            <w:r>
              <w:rPr>
                <w:rFonts w:ascii="Hiragino Sans GB" w:hAnsi="Hiragino Sans GB" w:eastAsia="Hiragino Sans GB"/>
                <w:color w:val="344054"/>
                <w:sz w:val="18"/>
              </w:rPr>
              <w:t>外派高管月报复核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02C8E2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5E898F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增加退出运营公司任务及角色数据权限</w:t>
            </w:r>
          </w:p>
        </w:tc>
      </w:tr>
      <w:tr w14:paraId="5EC86822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5CB1CE">
            <w:r>
              <w:rPr>
                <w:rFonts w:ascii="Hiragino Sans GB" w:hAnsi="Hiragino Sans GB" w:eastAsia="Hiragino Sans GB"/>
                <w:color w:val="344054"/>
                <w:sz w:val="18"/>
              </w:rPr>
              <w:t>月初任务生成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E1C2F6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4C1F0D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公司范围由股权运营35家扩展为股权运营加退出运营</w:t>
            </w:r>
          </w:p>
        </w:tc>
      </w:tr>
      <w:tr w14:paraId="1E946EEA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5CEBB5">
            <w:r>
              <w:rPr>
                <w:rFonts w:ascii="Hiragino Sans GB" w:hAnsi="Hiragino Sans GB" w:eastAsia="Hiragino Sans GB"/>
                <w:color w:val="344054"/>
                <w:sz w:val="18"/>
              </w:rPr>
              <w:t>权限过滤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325D4C">
            <w:r>
              <w:rPr>
                <w:rFonts w:ascii="Hiragino Sans GB" w:hAnsi="Hiragino Sans GB" w:eastAsia="Hiragino Sans GB"/>
                <w:color w:val="344054"/>
                <w:sz w:val="18"/>
              </w:rPr>
              <w:t>调整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1C563E">
            <w:r>
              <w:rPr>
                <w:rFonts w:ascii="Hiragino Sans GB" w:hAnsi="Hiragino Sans GB" w:eastAsia="Hiragino Sans GB"/>
                <w:color w:val="344054"/>
                <w:sz w:val="18"/>
              </w:rPr>
              <w:t>增加管理者跨部门权限、交易室统筹权限和退出运营公司管户权限</w:t>
            </w:r>
          </w:p>
        </w:tc>
      </w:tr>
    </w:tbl>
    <w:p w14:paraId="21CC6FE6"/>
    <w:p w14:paraId="01033E51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10. 异常与边界规则</w:t>
      </w:r>
    </w:p>
    <w:p w14:paraId="2A21AB3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公司未维护董事、管户或外派高管时，不向空人员生成任务，并记录缺失关系供业务人员处理。</w:t>
      </w:r>
    </w:p>
    <w:p w14:paraId="29A6C7B2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人员已停用或人员公司关系已失效时，不生成新的月度任务。</w:t>
      </w:r>
    </w:p>
    <w:p w14:paraId="2F09D70C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角色配置保存失败时，不覆盖原有有效配置。</w:t>
      </w:r>
    </w:p>
    <w:p w14:paraId="4938BAC5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退出运营公司未配置有效管户时，该公司数据不得默认暴露给其他普通管户。</w:t>
      </w:r>
    </w:p>
    <w:p w14:paraId="0F52939E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公司业务分类发生变化时，后续月份按最新有效分类生成任务；当月已生成任务的处理规则列入待确认项。</w:t>
      </w:r>
    </w:p>
    <w:p w14:paraId="19765D88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11. 验收标准</w:t>
      </w:r>
    </w:p>
    <w:p w14:paraId="099D9DF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访问 `/personnelMaintain` 可正常打开董监高人员维护页面。</w:t>
      </w:r>
    </w:p>
    <w:p w14:paraId="489191E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管理者、股权运营部、资产交易室三个入口均可切换并正确回显已配置人员。</w:t>
      </w:r>
    </w:p>
    <w:p w14:paraId="7054BD5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页面仅选择现有人员并保存，不出现新增人员功能。</w:t>
      </w:r>
    </w:p>
    <w:p w14:paraId="5142F0DF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管理者登录后，在四类月报页面均可查看股权运营和退出运营全部公司数据。</w:t>
      </w:r>
    </w:p>
    <w:p w14:paraId="39E33164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运营部统筹人登录后，只能查看股权运营全量数据。</w:t>
      </w:r>
    </w:p>
    <w:p w14:paraId="1432918B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交易室统筹人登录后，只能查看退出运营全量数据。</w:t>
      </w:r>
    </w:p>
    <w:p w14:paraId="6C0BD5E3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公司管户登录后，只能查看本人维护公司的数据。</w:t>
      </w:r>
    </w:p>
    <w:p w14:paraId="06FA45E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现有股权运营35家公司按原规则正常生成月报任务。</w:t>
      </w:r>
    </w:p>
    <w:p w14:paraId="55C8C440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退出运营公司在月初能够为对应董事、管户和外派高管生成相应任务。</w:t>
      </w:r>
    </w:p>
    <w:p w14:paraId="4BFA42AA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同一月份相同任务不重复生成，且任务可在对应页面查询和处理。</w:t>
      </w:r>
    </w:p>
    <w:p w14:paraId="3105579D">
      <w:pPr>
        <w:pStyle w:val="14"/>
      </w:pPr>
      <w:r>
        <w:rPr>
          <w:rFonts w:ascii="Hiragino Sans GB" w:hAnsi="Hiragino Sans GB" w:eastAsia="Hiragino Sans GB"/>
          <w:color w:val="344054"/>
          <w:sz w:val="21"/>
        </w:rPr>
        <w:t>人员角色保存成功后，后续查询与页面权限结果保持一致。</w:t>
      </w:r>
    </w:p>
    <w:p w14:paraId="397D4D80">
      <w:pPr>
        <w:pStyle w:val="3"/>
        <w:pBdr>
          <w:bottom w:val="single" w:color="152A8C" w:sz="8" w:space="4"/>
        </w:pBdr>
      </w:pPr>
      <w:r>
        <w:rPr>
          <w:rFonts w:ascii="Hiragino Sans GB" w:hAnsi="Hiragino Sans GB" w:eastAsia="Hiragino Sans GB"/>
        </w:rPr>
        <w:t>12. 待确认事项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638A1004">
        <w:trPr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0327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A1B1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待确认内容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FF4D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建议确认方</w:t>
            </w:r>
          </w:p>
        </w:tc>
      </w:tr>
      <w:tr w14:paraId="51B7BC38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F3857C">
            <w:r>
              <w:rPr>
                <w:rFonts w:ascii="Hiragino Sans GB" w:hAnsi="Hiragino Sans GB" w:eastAsia="Hiragino Sans GB"/>
                <w:color w:val="344054"/>
                <w:sz w:val="18"/>
              </w:rPr>
              <w:t>1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61F87AA">
            <w:r>
              <w:rPr>
                <w:rFonts w:ascii="Hiragino Sans GB" w:hAnsi="Hiragino Sans GB" w:eastAsia="Hiragino Sans GB"/>
                <w:color w:val="344054"/>
                <w:sz w:val="18"/>
              </w:rPr>
              <w:t>月初任务的准确生成日期、时间及失败重试机制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B0206B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业务、产品、研发</w:t>
            </w:r>
          </w:p>
        </w:tc>
      </w:tr>
      <w:tr w14:paraId="11D05F54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83F011">
            <w:r>
              <w:rPr>
                <w:rFonts w:ascii="Hiragino Sans GB" w:hAnsi="Hiragino Sans GB" w:eastAsia="Hiragino Sans GB"/>
                <w:color w:val="344054"/>
                <w:sz w:val="18"/>
              </w:rPr>
              <w:t>2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72D8C6">
            <w:r>
              <w:rPr>
                <w:rFonts w:ascii="Hiragino Sans GB" w:hAnsi="Hiragino Sans GB" w:eastAsia="Hiragino Sans GB"/>
                <w:color w:val="344054"/>
                <w:sz w:val="18"/>
              </w:rPr>
              <w:t>退出运营公司的正式清单、公司数量及生效日期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59039C">
            <w:r>
              <w:rPr>
                <w:rFonts w:ascii="Hiragino Sans GB" w:hAnsi="Hiragino Sans GB" w:eastAsia="Hiragino Sans GB"/>
                <w:color w:val="344054"/>
                <w:sz w:val="18"/>
              </w:rPr>
              <w:t>资产交易室</w:t>
            </w:r>
          </w:p>
        </w:tc>
      </w:tr>
      <w:tr w14:paraId="2A4C5325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08EBED">
            <w:r>
              <w:rPr>
                <w:rFonts w:ascii="Hiragino Sans GB" w:hAnsi="Hiragino Sans GB" w:eastAsia="Hiragino Sans GB"/>
                <w:color w:val="344054"/>
                <w:sz w:val="18"/>
              </w:rPr>
              <w:t>3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8AA3FA">
            <w:r>
              <w:rPr>
                <w:rFonts w:ascii="Hiragino Sans GB" w:hAnsi="Hiragino Sans GB" w:eastAsia="Hiragino Sans GB"/>
                <w:color w:val="344054"/>
                <w:sz w:val="18"/>
              </w:rPr>
              <w:t>“外派高管月报复核”的实际执行人是否仍为外派高管，或应由公司管户/其他角色执行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BB3F99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业务部门</w:t>
            </w:r>
          </w:p>
        </w:tc>
      </w:tr>
      <w:tr w14:paraId="0F07E159">
        <w:trPr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8A37E5">
            <w:r>
              <w:rPr>
                <w:rFonts w:ascii="Hiragino Sans GB" w:hAnsi="Hiragino Sans GB" w:eastAsia="Hiragino Sans GB"/>
                <w:color w:val="344054"/>
                <w:sz w:val="18"/>
              </w:rPr>
              <w:t>4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F9B533C">
            <w:r>
              <w:rPr>
                <w:rFonts w:ascii="Hiragino Sans GB" w:hAnsi="Hiragino Sans GB" w:eastAsia="Hiragino Sans GB"/>
                <w:color w:val="344054"/>
                <w:sz w:val="18"/>
              </w:rPr>
              <w:t>同一人员兼任多个统筹角色时，后台采用多角色授权还是合并数据范围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5349B9">
            <w:r>
              <w:rPr>
                <w:rFonts w:ascii="Hiragino Sans GB" w:hAnsi="Hiragino Sans GB" w:eastAsia="Hiragino Sans GB"/>
                <w:color w:val="344054"/>
                <w:sz w:val="18"/>
              </w:rPr>
              <w:t>产品、研发</w:t>
            </w:r>
          </w:p>
        </w:tc>
      </w:tr>
      <w:tr w14:paraId="5CCEE837">
        <w:trPr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ECE8CB">
            <w:r>
              <w:rPr>
                <w:rFonts w:ascii="Hiragino Sans GB" w:hAnsi="Hiragino Sans GB" w:eastAsia="Hiragino Sans GB"/>
                <w:color w:val="344054"/>
                <w:sz w:val="18"/>
              </w:rPr>
              <w:t>5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F69483">
            <w:r>
              <w:rPr>
                <w:rFonts w:ascii="Hiragino Sans GB" w:hAnsi="Hiragino Sans GB" w:eastAsia="Hiragino Sans GB"/>
                <w:color w:val="344054"/>
                <w:sz w:val="18"/>
              </w:rPr>
              <w:t>公司在月中由股权运营转为退出运营或反向变化时，当月已生成任务是否迁移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FF1843">
            <w:r>
              <w:rPr>
                <w:rFonts w:ascii="Hiragino Sans GB" w:hAnsi="Hiragino Sans GB" w:eastAsia="Hiragino Sans GB"/>
                <w:color w:val="344054"/>
                <w:sz w:val="18"/>
              </w:rPr>
              <w:t>业务、产品</w:t>
            </w:r>
          </w:p>
        </w:tc>
      </w:tr>
    </w:tbl>
    <w:p w14:paraId="17022C00"/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36129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1BA2A43A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258E8">
    <w:pPr>
      <w:pStyle w:val="24"/>
      <w:jc w:val="left"/>
    </w:pPr>
    <w:r>
      <w:rPr>
        <w:rFonts w:ascii="Arial Unicode MS" w:hAnsi="Arial Unicode MS" w:eastAsia="Arial Unicode MS"/>
        <w:color w:val="667085"/>
        <w:sz w:val="16"/>
      </w:rPr>
      <w:t>一汽股权｜需求文档</w:t>
    </w:r>
  </w:p>
  <w:p w14:paraId="63CA043F">
    <w:pPr>
      <w:jc w:val="right"/>
    </w:pPr>
    <w:r>
      <w:rPr>
        <w:rFonts w:ascii="Arial Unicode MS" w:hAnsi="Arial Unicode MS" w:eastAsia="Arial Unicode MS"/>
        <w:color w:val="667085"/>
        <w:sz w:val="16"/>
      </w:rPr>
      <w:fldChar w:fldCharType="begin"/>
    </w:r>
    <w:r>
      <w:rPr>
        <w:rFonts w:ascii="Arial Unicode MS" w:hAnsi="Arial Unicode MS" w:eastAsia="Arial Unicode MS"/>
        <w:color w:val="667085"/>
        <w:sz w:val="16"/>
      </w:rPr>
      <w:instrText xml:space="preserve"> PAGE </w:instrText>
    </w:r>
    <w:r>
      <w:rPr>
        <w:rFonts w:ascii="Arial Unicode MS" w:hAnsi="Arial Unicode MS" w:eastAsia="Arial Unicode MS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F3DCB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65BE0">
    <w:pPr>
      <w:pStyle w:val="25"/>
    </w:pPr>
  </w:p>
  <w:tbl>
    <w:tblPr>
      <w:tblStyle w:val="33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64B8B533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19630A68">
          <w:r>
            <w:rPr>
              <w:rFonts w:ascii="Arial Unicode MS" w:hAnsi="Arial Unicode MS" w:eastAsia="Arial Unicode MS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771F749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CA6E4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FBDBA"/>
    <w:rsid w:val="46E7F980"/>
    <w:rsid w:val="9CFD08A1"/>
    <w:rsid w:val="BBDEB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Hiragino Sans GB" w:hAnsi="Hiragino Sans GB" w:eastAsia="Hiragino Sans GB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  <w:rPr>
      <w:rFonts w:ascii="Hiragino Sans GB" w:hAnsi="Hiragino Sans GB" w:eastAsia="Hiragino Sans GB"/>
    </w:rPr>
  </w:style>
  <w:style w:type="table" w:default="1" w:styleId="33">
    <w:name w:val="Normal Table"/>
    <w:semiHidden/>
    <w:unhideWhenUsed/>
    <w:uiPriority w:val="99"/>
    <w:rPr>
      <w:rFonts w:ascii="Hiragino Sans GB" w:hAnsi="Hiragino Sans GB" w:eastAsia="Hiragino Sans GB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Hiragino Sans GB" w:hAnsi="Hiragino Sans GB" w:eastAsia="Hiragino Sans GB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Hiragino Sans GB" w:hAnsi="Hiragino Sans GB" w:eastAsia="Hiragino Sans GB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rFonts w:ascii="Hiragino Sans GB" w:hAnsi="Hiragino Sans GB" w:eastAsia="Hiragino Sans GB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Hiragino Sans GB" w:hAnsi="Hiragino Sans GB" w:eastAsia="Hiragino Sans GB"/>
    </w:rPr>
  </w:style>
  <w:style w:type="paragraph" w:styleId="19">
    <w:name w:val="Body Text"/>
    <w:basedOn w:val="1"/>
    <w:link w:val="145"/>
    <w:unhideWhenUsed/>
    <w:uiPriority w:val="99"/>
    <w:pPr>
      <w:spacing w:after="120"/>
    </w:pPr>
    <w:rPr>
      <w:rFonts w:ascii="Hiragino Sans GB" w:hAnsi="Hiragino Sans GB" w:eastAsia="Hiragino Sans GB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Hiragino Sans GB" w:hAnsi="Hiragino Sans GB" w:eastAsia="Hiragino Sans GB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Hiragino Sans GB" w:hAnsi="Hiragino Sans GB" w:eastAsia="Hiragino Sans GB"/>
    </w:r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  <w:rPr>
      <w:rFonts w:ascii="Hiragino Sans GB" w:hAnsi="Hiragino Sans GB" w:eastAsia="Hiragino Sans GB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rFonts w:ascii="Hiragino Sans GB" w:hAnsi="Hiragino Sans GB" w:eastAsia="Hiragino Sans GB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Hiragino Sans GB" w:hAnsi="Hiragino Sans GB" w:eastAsia="Hiragino Sans GB"/>
      <w:b/>
      <w:bCs/>
    </w:rPr>
  </w:style>
  <w:style w:type="character" w:styleId="135">
    <w:name w:val="Emphasis"/>
    <w:basedOn w:val="133"/>
    <w:qFormat/>
    <w:uiPriority w:val="20"/>
    <w:rPr>
      <w:rFonts w:ascii="Hiragino Sans GB" w:hAnsi="Hiragino Sans GB" w:eastAsia="Hiragino Sans GB"/>
      <w:i/>
      <w:iCs/>
    </w:rPr>
  </w:style>
  <w:style w:type="character" w:customStyle="1" w:styleId="136">
    <w:name w:val="Header Char"/>
    <w:basedOn w:val="133"/>
    <w:link w:val="25"/>
    <w:uiPriority w:val="99"/>
    <w:rPr>
      <w:rFonts w:ascii="Hiragino Sans GB" w:hAnsi="Hiragino Sans GB" w:eastAsia="Hiragino Sans GB"/>
    </w:rPr>
  </w:style>
  <w:style w:type="character" w:customStyle="1" w:styleId="137">
    <w:name w:val="Footer Char"/>
    <w:basedOn w:val="133"/>
    <w:link w:val="24"/>
    <w:uiPriority w:val="99"/>
    <w:rPr>
      <w:rFonts w:ascii="Hiragino Sans GB" w:hAnsi="Hiragino Sans GB" w:eastAsia="Hiragino Sans GB"/>
    </w:rPr>
  </w:style>
  <w:style w:type="paragraph" w:styleId="138">
    <w:name w:val="No Spacing"/>
    <w:qFormat/>
    <w:uiPriority w:val="1"/>
    <w:pPr>
      <w:spacing w:after="0" w:line="240" w:lineRule="auto"/>
    </w:pPr>
    <w:rPr>
      <w:rFonts w:ascii="Hiragino Sans GB" w:hAnsi="Hiragino Sans GB" w:eastAsia="Hiragino Sans GB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  <w:rPr>
      <w:rFonts w:ascii="Hiragino Sans GB" w:hAnsi="Hiragino Sans GB" w:eastAsia="Hiragino Sans GB"/>
    </w:rPr>
  </w:style>
  <w:style w:type="character" w:customStyle="1" w:styleId="145">
    <w:name w:val="Body Text Char"/>
    <w:basedOn w:val="133"/>
    <w:link w:val="19"/>
    <w:uiPriority w:val="99"/>
    <w:rPr>
      <w:rFonts w:ascii="Hiragino Sans GB" w:hAnsi="Hiragino Sans GB" w:eastAsia="Hiragino Sans GB"/>
    </w:rPr>
  </w:style>
  <w:style w:type="character" w:customStyle="1" w:styleId="146">
    <w:name w:val="Body Text 2 Char"/>
    <w:basedOn w:val="133"/>
    <w:link w:val="28"/>
    <w:uiPriority w:val="99"/>
    <w:rPr>
      <w:rFonts w:ascii="Hiragino Sans GB" w:hAnsi="Hiragino Sans GB" w:eastAsia="Hiragino Sans GB"/>
    </w:rPr>
  </w:style>
  <w:style w:type="character" w:customStyle="1" w:styleId="147">
    <w:name w:val="Body Text 3 Char"/>
    <w:basedOn w:val="133"/>
    <w:link w:val="17"/>
    <w:uiPriority w:val="99"/>
    <w:rPr>
      <w:rFonts w:ascii="Hiragino Sans GB" w:hAnsi="Hiragino Sans GB" w:eastAsia="Hiragino Sans GB"/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Hiragino Sans GB" w:hAnsi="Hiragino Sans GB" w:eastAsia="Hiragino Sans GB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rFonts w:ascii="Hiragino Sans GB" w:hAnsi="Hiragino Sans GB" w:eastAsia="Hiragino Sans GB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rFonts w:ascii="Hiragino Sans GB" w:hAnsi="Hiragino Sans GB" w:eastAsia="Hiragino Sans GB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rFonts w:ascii="Hiragino Sans GB" w:hAnsi="Hiragino Sans GB" w:eastAsia="Hiragino Sans GB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  <w:rPr>
      <w:rFonts w:ascii="Hiragino Sans GB" w:hAnsi="Hiragino Sans GB" w:eastAsia="Hiragino Sans 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一汽股权</dc:creator>
  <dc:description>generated by python-docx</dc:description>
  <cp:lastModifiedBy>郭_少</cp:lastModifiedBy>
  <dcterms:modified xsi:type="dcterms:W3CDTF">2026-09-09T17:01:28Z</dcterms:modified>
  <dc:subject>产品需求文档</dc:subject>
  <dc:title>董监高人员维护及月报任务扩展需求说明书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2D53EF762A6784209D1EA16A4288A5D5_42</vt:lpwstr>
  </property>
</Properties>
</file>