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6D28D9"/>
          <w:sz w:val="72"/>
          <w:szCs w:val="72"/>
        </w:rPr>
        <w:t xml:space="preserve">LinguaCert</w:t>
      </w:r>
    </w:p>
    <w:p>
      <w:pPr>
        <w:spacing w:after="400"/>
        <w:jc w:val="center"/>
      </w:pPr>
      <w:r>
        <w:rPr>
          <w:i/>
          <w:iCs/>
          <w:color w:val="6B7280"/>
          <w:sz w:val="26"/>
          <w:szCs w:val="26"/>
        </w:rPr>
        <w:t xml:space="preserve">Práctica conversacional con IA + certificación inmutable en blockchain</w:t>
      </w:r>
    </w:p>
    <w:p>
      <w:pPr>
        <w:spacing w:before="600"/>
        <w:jc w:val="center"/>
      </w:pPr>
      <w:r>
        <w:rPr>
          <w:color w:val="1F2937"/>
          <w:sz w:val="20"/>
          <w:szCs w:val="20"/>
        </w:rPr>
        <w:t xml:space="preserve">Carolina Fetta   ·   Teoría de la Computación II   ·   Universidad Champagnat</w:t>
      </w:r>
    </w:p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1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EL PROBLEMA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Certificar un idioma hoy es lento, caro o poco confiable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Fraude documental — </w:t>
            </w:r>
            <w:r>
              <w:rPr>
                <w:color w:val="1F2937"/>
                <w:sz w:val="22"/>
                <w:szCs w:val="22"/>
              </w:rPr>
              <w:t xml:space="preserve">Los certificados en PDF o papel son fáciles de adulterar, y las empresas terminan auditando manualmente cada credencial.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Barrera económica — </w:t>
            </w:r>
            <w:r>
              <w:rPr>
                <w:color w:val="1F2937"/>
                <w:sz w:val="22"/>
                <w:szCs w:val="22"/>
              </w:rPr>
              <w:t xml:space="preserve">Los estudiantes que quieren insertarse en mercados globales no acceden a tutores nativos por su costo.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Registros frágiles — </w:t>
            </w:r>
            <w:r>
              <w:rPr>
                <w:color w:val="1F2937"/>
                <w:sz w:val="22"/>
                <w:szCs w:val="22"/>
              </w:rPr>
              <w:t xml:space="preserve">Validar un logro pasado depende de instituciones centralizadas, con demoras y burocracia.</w:t>
            </w:r>
          </w:p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2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LA SOLUCIÓN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Una DApp que enseña, evalúa y certifica de punta a punta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p>
            <w:pPr>
              <w:spacing w:after="200"/>
            </w:pPr>
            <w:r>
              <w:rPr>
                <w:color w:val="1F2937"/>
                <w:sz w:val="24"/>
                <w:szCs w:val="24"/>
              </w:rPr>
              <w:t xml:space="preserve">LinguaCert combina un tutor conversacional de IA con un smart contract en Ethereum para que la práctica y la certificación ocurran en un solo flujo, sin intermediarios.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Tutor de IA — </w:t>
            </w:r>
            <w:r>
              <w:rPr>
                <w:color w:val="1F2937"/>
                <w:sz w:val="22"/>
                <w:szCs w:val="22"/>
              </w:rPr>
              <w:t xml:space="preserve">Debate por turnos en el idioma elegido, con feedback gramatical y puntaje en tiempo real (Gemini 2.5 Flash).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Login Web3 — </w:t>
            </w:r>
            <w:r>
              <w:rPr>
                <w:color w:val="1F2937"/>
                <w:sz w:val="22"/>
                <w:szCs w:val="22"/>
              </w:rPr>
              <w:t xml:space="preserve">Conexión de MetaMask como identidad, sin usuarios ni contraseñas.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Certificación verificable — </w:t>
            </w:r>
            <w:r>
              <w:rPr>
                <w:color w:val="1F2937"/>
                <w:sz w:val="22"/>
                <w:szCs w:val="22"/>
              </w:rPr>
              <w:t xml:space="preserve">Certificado anclado on-chain en Sepolia, auditable públicamente por cualquier reclutador.</w:t>
            </w:r>
          </w:p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3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CÓMO FUNCIONA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De la conversación al certificado, en 5 pasos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tbl>
            <w:tblPr>
              <w:tblW w:type="dxa" w:w="140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 xml:space="preserve">1</w:t>
                  </w:r>
                </w:p>
              </w:tc>
              <w:tc>
                <w:tcPr>
                  <w:tcW w:type="dxa" w:w="13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2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C1D95"/>
                      <w:sz w:val="22"/>
                      <w:szCs w:val="22"/>
                    </w:rPr>
                    <w:t xml:space="preserve">Conectar wallet</w:t>
                  </w:r>
                </w:p>
                <w:p>
                  <w:r>
                    <w:rPr>
                      <w:color w:val="1F2937"/>
                      <w:sz w:val="20"/>
                      <w:szCs w:val="20"/>
                    </w:rPr>
                    <w:t xml:space="preserve">El usuario conecta MetaMask; su dirección pública se vuelve su identidad en la plataforma.</w:t>
                  </w:r>
                </w:p>
              </w:tc>
            </w:tr>
          </w:tbl>
          <w:tbl>
            <w:tblPr>
              <w:tblW w:type="dxa" w:w="140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 xml:space="preserve">2</w:t>
                  </w:r>
                </w:p>
              </w:tc>
              <w:tc>
                <w:tcPr>
                  <w:tcW w:type="dxa" w:w="13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2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C1D95"/>
                      <w:sz w:val="22"/>
                      <w:szCs w:val="22"/>
                    </w:rPr>
                    <w:t xml:space="preserve">Practicar por turnos</w:t>
                  </w:r>
                </w:p>
                <w:p>
                  <w:r>
                    <w:rPr>
                      <w:color w:val="1F2937"/>
                      <w:sz w:val="20"/>
                      <w:szCs w:val="20"/>
                    </w:rPr>
                    <w:t xml:space="preserve">La IA propone un tema y evalúa cada respuesta: gramática, vocabulario y fluidez, con score de 0 a 100.</w:t>
                  </w:r>
                </w:p>
              </w:tc>
            </w:tr>
          </w:tbl>
          <w:tbl>
            <w:tblPr>
              <w:tblW w:type="dxa" w:w="140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 xml:space="preserve">3</w:t>
                  </w:r>
                </w:p>
              </w:tc>
              <w:tc>
                <w:tcPr>
                  <w:tcW w:type="dxa" w:w="13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2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C1D95"/>
                      <w:sz w:val="22"/>
                      <w:szCs w:val="22"/>
                    </w:rPr>
                    <w:t xml:space="preserve">Acumular sesiones aprobadas</w:t>
                  </w:r>
                </w:p>
                <w:p>
                  <w:r>
                    <w:rPr>
                      <w:color w:val="1F2937"/>
                      <w:sz w:val="20"/>
                      <w:szCs w:val="20"/>
                    </w:rPr>
                    <w:t xml:space="preserve">El progreso se guarda localmente, indexado por wallet, hasta cubrir las sesiones mínimas requeridas.</w:t>
                  </w:r>
                </w:p>
              </w:tc>
            </w:tr>
          </w:tbl>
          <w:tbl>
            <w:tblPr>
              <w:tblW w:type="dxa" w:w="140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 xml:space="preserve">4</w:t>
                  </w:r>
                </w:p>
              </w:tc>
              <w:tc>
                <w:tcPr>
                  <w:tcW w:type="dxa" w:w="13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2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C1D95"/>
                      <w:sz w:val="22"/>
                      <w:szCs w:val="22"/>
                    </w:rPr>
                    <w:t xml:space="preserve">Hash + IPFS</w:t>
                  </w:r>
                </w:p>
                <w:p>
                  <w:r>
                    <w:rPr>
                      <w:color w:val="1F2937"/>
                      <w:sz w:val="20"/>
                      <w:szCs w:val="20"/>
                    </w:rPr>
                    <w:t xml:space="preserve">Se calcula un hash SHA-256 de las sesiones aprobadas y se sube el detalle a IPFS vía Pinata.</w:t>
                  </w:r>
                </w:p>
              </w:tc>
            </w:tr>
          </w:tbl>
          <w:tbl>
            <w:tblPr>
              <w:tblW w:type="dxa" w:w="140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D28D9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6"/>
                      <w:szCs w:val="26"/>
                    </w:rPr>
                    <w:t xml:space="preserve">5</w:t>
                  </w:r>
                </w:p>
              </w:tc>
              <w:tc>
                <w:tcPr>
                  <w:tcW w:type="dxa" w:w="133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220"/>
                    <w:bottom w:type="dxa" w:w="120"/>
                    <w:right w:type="dxa" w:w="0"/>
                  </w:tcMar>
                </w:tcPr>
                <w:p>
                  <w:r>
                    <w:rPr>
                      <w:b/>
                      <w:bCs/>
                      <w:color w:val="4C1D95"/>
                      <w:sz w:val="22"/>
                      <w:szCs w:val="22"/>
                    </w:rPr>
                    <w:t xml:space="preserve">Emisión on-chain</w:t>
                  </w:r>
                </w:p>
                <w:p>
                  <w:r>
                    <w:rPr>
                      <w:color w:val="1F2937"/>
                      <w:sz w:val="20"/>
                      <w:szCs w:val="20"/>
                    </w:rPr>
                    <w:t xml:space="preserve">El contrato issueCertificate registra el certificado en Sepolia, con evento auditable en Etherscan.</w:t>
                  </w:r>
                </w:p>
              </w:tc>
            </w:tr>
          </w:tbl>
          <w:p/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4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PRODUCTO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Lo que ya funciona hoy (no es un mockup)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Frontend — </w:t>
            </w:r>
            <w:r>
              <w:rPr>
                <w:color w:val="1F2937"/>
                <w:sz w:val="22"/>
                <w:szCs w:val="22"/>
              </w:rPr>
              <w:t xml:space="preserve">Next.js 16 + TypeScript + Tailwind, con estados de chat, feedback y stickers gamificados.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Motor de IA — </w:t>
            </w:r>
            <w:r>
              <w:rPr>
                <w:color w:val="1F2937"/>
                <w:sz w:val="22"/>
                <w:szCs w:val="22"/>
              </w:rPr>
              <w:t xml:space="preserve">Evaluación por turno vía OpenRouter (google/gemini-2.5-flash), con fallback si la IA falla.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Blockchain — </w:t>
            </w:r>
            <w:r>
              <w:rPr>
                <w:color w:val="1F2937"/>
                <w:sz w:val="22"/>
                <w:szCs w:val="22"/>
              </w:rPr>
              <w:t xml:space="preserve">Contrato Solidity desplegado en Sepolia, con eventos consultables públicamente.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Almacenamiento descentralizado — </w:t>
            </w:r>
            <w:r>
              <w:rPr>
                <w:color w:val="1F2937"/>
                <w:sz w:val="22"/>
                <w:szCs w:val="22"/>
              </w:rPr>
              <w:t xml:space="preserve">Subida real de las sesiones aprobadas a IPFS mediante Pinata, previa a la emisión del certificado.</w:t>
            </w:r>
          </w:p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5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STACK TECNOLÓGICO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Herramientas modernas, curva de costo baja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Frontend / Backend — </w:t>
            </w:r>
            <w:r>
              <w:rPr>
                <w:color w:val="1F2937"/>
                <w:sz w:val="22"/>
                <w:szCs w:val="22"/>
              </w:rPr>
              <w:t xml:space="preserve">Next.js 16 (Turbopack) + TypeScript + Tailwind CSS.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Inteligencia Artificial — </w:t>
            </w:r>
            <w:r>
              <w:rPr>
                <w:color w:val="1F2937"/>
                <w:sz w:val="22"/>
                <w:szCs w:val="22"/>
              </w:rPr>
              <w:t xml:space="preserve">google/gemini-2.5-flash vía API de OpenRouter, consumido con fetch directo desde rutas API de Next.js.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Smart Contract — </w:t>
            </w:r>
            <w:r>
              <w:rPr>
                <w:color w:val="1F2937"/>
                <w:sz w:val="22"/>
                <w:szCs w:val="22"/>
              </w:rPr>
              <w:t xml:space="preserve">Solidity v0.8.19, compilado en Remix, desplegado en Ethereum Sepolia; integración con ethers.js v6.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IPFS — </w:t>
            </w:r>
            <w:r>
              <w:rPr>
                <w:color w:val="1F2937"/>
                <w:sz w:val="22"/>
                <w:szCs w:val="22"/>
              </w:rPr>
              <w:t xml:space="preserve">Pinata (pinJSONToIPFS) para anclar el detalle de las sesiones evaluadas fuera de la cadena.</w:t>
            </w:r>
          </w:p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6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MODELO DE NEGOCIO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Freemium con ingresos por emisión y por empresas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Freemium — </w:t>
            </w:r>
            <w:r>
              <w:rPr>
                <w:color w:val="1F2937"/>
                <w:sz w:val="22"/>
                <w:szCs w:val="22"/>
              </w:rPr>
              <w:t xml:space="preserve">Sesiones de práctica básicas gratuitas, subsidiadas por la cuota gratuita de la API de 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Micro-tasa de emisión — </w:t>
            </w:r>
            <w:r>
              <w:rPr>
                <w:color w:val="1F2937"/>
                <w:sz w:val="22"/>
                <w:szCs w:val="22"/>
              </w:rPr>
              <w:t xml:space="preserve">Pequeño cobro (o fee de gas) al momento de invocar issueCertificate y anclar el logro en blockchain.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B2B / Corporativo — </w:t>
            </w:r>
            <w:r>
              <w:rPr>
                <w:color w:val="1F2937"/>
                <w:sz w:val="22"/>
                <w:szCs w:val="22"/>
              </w:rPr>
              <w:t xml:space="preserve">Planes de créditos de evaluación con IA para empresas que reclutan masivamente.</w:t>
            </w:r>
          </w:p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7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MERCADO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Dos lados de la misma necesidad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Usuarios (early adopters) — </w:t>
            </w:r>
            <w:r>
              <w:rPr>
                <w:color w:val="1F2937"/>
                <w:sz w:val="22"/>
                <w:szCs w:val="22"/>
              </w:rPr>
              <w:t xml:space="preserve">Estudiantes de carreras tecnológicas que buscan validar su nivel de idioma para pasantías, empleo remoto o call centers en el exterior.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Clientes secundarios — </w:t>
            </w:r>
            <w:r>
              <w:rPr>
                <w:color w:val="1F2937"/>
                <w:sz w:val="22"/>
                <w:szCs w:val="22"/>
              </w:rPr>
              <w:t xml:space="preserve">Reclutadores y áreas de RR.HH. que necesitan un método ágil y a prueba de fraude para verificar competencias lingüísticas.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Alternativas actuales — </w:t>
            </w:r>
            <w:r>
              <w:rPr>
                <w:color w:val="1F2937"/>
                <w:sz w:val="22"/>
                <w:szCs w:val="22"/>
              </w:rPr>
              <w:t xml:space="preserve">Academias tradicionales, IELTS/TOEFL y apps de vocabulario estático como Duolingo.</w:t>
            </w:r>
          </w:p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8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VENTAJA DIFERENCIAL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Lo que ninguna academia puede ofrecer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p>
            <w:pPr>
              <w:spacing w:after="200"/>
            </w:pPr>
            <w:r>
              <w:rPr>
                <w:b/>
                <w:bCs/>
                <w:i/>
                <w:iCs/>
                <w:color w:val="4C1D95"/>
                <w:sz w:val="24"/>
                <w:szCs w:val="24"/>
              </w:rPr>
              <w:t xml:space="preserve">"El certificado le pertenece a la clave privada del alumno. Ninguna caída de servidor ni entidad central puede alterarlo o borrarlo."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Confianza sin intermediarios — </w:t>
            </w:r>
            <w:r>
              <w:rPr>
                <w:color w:val="1F2937"/>
                <w:sz w:val="22"/>
                <w:szCs w:val="22"/>
              </w:rPr>
              <w:t xml:space="preserve">Auditoría pública y gratuita: cualquiera puede verificar el certificado con el hash de la transacción en Etherscan.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Trazabilidad real — </w:t>
            </w:r>
            <w:r>
              <w:rPr>
                <w:color w:val="1F2937"/>
                <w:sz w:val="22"/>
                <w:szCs w:val="22"/>
              </w:rPr>
              <w:t xml:space="preserve">El registro de sesiones que respalda el certificado queda accesible en IPFS, no solo un número en una base de datos privada.</w:t>
            </w:r>
          </w:p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9</w:t>
      </w:r>
    </w:p>
    <w:p>
      <w:r>
        <w:br w:type="page"/>
      </w:r>
    </w:p>
    <w:tbl>
      <w:tblPr>
        <w:tblW w:type="dxa" w:w="14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4440"/>
            <w:shd w:fill="6D28D9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after="40"/>
            </w:pPr>
            <w:r>
              <w:rPr>
                <w:b/>
                <w:bCs/>
                <w:color w:val="DDD6FE"/>
                <w:sz w:val="16"/>
                <w:szCs w:val="16"/>
              </w:rPr>
              <w:t xml:space="preserve">PRÓXIMOS PASOS</w:t>
            </w:r>
          </w:p>
          <w:p>
            <w:r>
              <w:rPr>
                <w:b/>
                <w:bCs/>
                <w:color w:val="FFFFFF"/>
                <w:sz w:val="34"/>
                <w:szCs w:val="34"/>
              </w:rPr>
              <w:t xml:space="preserve">Lo que viene después del MVP</w:t>
            </w:r>
          </w:p>
        </w:tc>
      </w:tr>
    </w:tbl>
    <w:tbl>
      <w:tblPr>
        <w:tblW w:type="dxa" w:w="14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1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0"/>
              <w:left w:type="dxa" w:w="360"/>
              <w:bottom w:type="dxa" w:w="100"/>
              <w:right w:type="dxa" w:w="3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Contrato ERC-721 — </w:t>
            </w:r>
            <w:r>
              <w:rPr>
                <w:color w:val="1F2937"/>
                <w:sz w:val="22"/>
                <w:szCs w:val="22"/>
              </w:rPr>
              <w:t xml:space="preserve">Migrar el contrato actual a un estándar ERC-721, para que el certificado sea un NFT transferible entre wallets y compatible con marketplaces.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Buenas prácticas — </w:t>
            </w:r>
            <w:r>
              <w:rPr>
                <w:color w:val="1F2937"/>
                <w:sz w:val="22"/>
                <w:szCs w:val="22"/>
              </w:rPr>
              <w:t xml:space="preserve">Mover las claves de API a variables de entorno de forma consistente en todo el proyecto (hardening de seguridad).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Panel B2B — </w:t>
            </w:r>
            <w:r>
              <w:rPr>
                <w:color w:val="1F2937"/>
                <w:sz w:val="22"/>
                <w:szCs w:val="22"/>
              </w:rPr>
              <w:t xml:space="preserve">Sumar un panel para que empresas verifiquen certificados en lote y adquieran créditos de evaluación.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0" w:line="300"/>
            </w:pPr>
            <w:r>
              <w:rPr>
                <w:b/>
                <w:bCs/>
                <w:color w:val="4C1D95"/>
                <w:sz w:val="22"/>
                <w:szCs w:val="22"/>
              </w:rPr>
              <w:t xml:space="preserve">Producto — </w:t>
            </w:r>
            <w:r>
              <w:rPr>
                <w:color w:val="1F2937"/>
                <w:sz w:val="22"/>
                <w:szCs w:val="22"/>
              </w:rPr>
              <w:t xml:space="preserve">Expandir a más idiomas y niveles, e incorporar evaluación de pronunciación por voz.</w:t>
            </w:r>
          </w:p>
        </w:tc>
      </w:tr>
    </w:tbl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10</w:t>
      </w:r>
    </w:p>
    <w:p>
      <w:r>
        <w:br w:type="page"/>
      </w:r>
    </w:p>
    <w:p>
      <w:pPr>
        <w:spacing w:before="1400"/>
        <w:jc w:val="center"/>
      </w:pPr>
      <w:r>
        <w:rPr>
          <w:b/>
          <w:bCs/>
          <w:color w:val="6D28D9"/>
          <w:sz w:val="60"/>
          <w:szCs w:val="60"/>
        </w:rPr>
        <w:t xml:space="preserve">Gracias</w:t>
      </w:r>
    </w:p>
    <w:p>
      <w:pPr>
        <w:spacing w:after="300"/>
        <w:jc w:val="center"/>
      </w:pPr>
      <w:r>
        <w:rPr>
          <w:i/>
          <w:iCs/>
          <w:color w:val="6B7280"/>
          <w:sz w:val="24"/>
          <w:szCs w:val="24"/>
        </w:rPr>
        <w:t xml:space="preserve">LinguaCert — soberanía del logro académico</w:t>
      </w:r>
    </w:p>
    <w:p>
      <w:pPr>
        <w:jc w:val="center"/>
      </w:pPr>
      <w:r>
        <w:rPr>
          <w:color w:val="1F2937"/>
          <w:sz w:val="18"/>
          <w:szCs w:val="18"/>
        </w:rPr>
        <w:t xml:space="preserve">Repositorio: https://github.com/gcfetta/linguacert.git</w:t>
      </w:r>
    </w:p>
    <w:p>
      <w:pPr>
        <w:spacing w:before="200"/>
        <w:jc w:val="right"/>
      </w:pPr>
      <w:r>
        <w:rPr>
          <w:color w:val="6B7280"/>
          <w:sz w:val="16"/>
          <w:szCs w:val="16"/>
        </w:rPr>
        <w:t xml:space="preserve">LinguaCert  ·  11</w:t>
      </w:r>
    </w:p>
    <w:sectPr>
      <w:pgSz w:w="15840" w:h="12240" w:orient="portrait"/>
      <w:pgMar w:top="7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2026-07-30T18:21:25.180Z</dcterms:created>
  <dcterms:modified xsi:type="dcterms:W3CDTF">2026-07-30T18:21:25.180Z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