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Assessing the influence of variable annual sampling effort on official national forest inventory statistics</w:t>
      </w:r>
    </w:p>
    <w:p>
      <w:pPr>
        <w:pStyle w:val="Author"/>
      </w:pPr>
      <w:r>
        <w:t xml:space="preserve">George C. Gaines III</w:t>
      </w:r>
    </w:p>
    <w:p>
      <w:pPr>
        <w:pStyle w:val="Author"/>
      </w:pPr>
      <w:r>
        <w:t xml:space="preserve">Bryce Frank</w:t>
      </w:r>
    </w:p>
    <w:p>
      <w:pPr>
        <w:pStyle w:val="Author"/>
      </w:pPr>
      <w:r>
        <w:t xml:space="preserve">KaDonna Randolph</w:t>
      </w:r>
    </w:p>
    <w:p>
      <w:pPr>
        <w:pStyle w:val="Author"/>
      </w:pPr>
      <w:r>
        <w:t xml:space="preserve">Jim Westfall</w:t>
      </w:r>
    </w:p>
    <w:p>
      <w:pPr>
        <w:pStyle w:val="Date"/>
      </w:pPr>
      <w:r>
        <w:t xml:space="preserve">Oct 26,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this study we…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The USFS Forest Inventory and Analysis (FIA) Program surveys and analyzes the forests of the</w:t>
      </w:r>
      <w:r>
        <w:t xml:space="preserve"> </w:t>
      </w:r>
      <w:r>
        <w:t xml:space="preserve">United States through a nationwide network of</w:t>
      </w:r>
      <w:r>
        <w:t xml:space="preserve"> </w:t>
      </w:r>
      <w:r>
        <w:t xml:space="preserve">permanent sample locations. These plot locations are distributed across all lands with a spatial</w:t>
      </w:r>
      <w:r>
        <w:t xml:space="preserve"> </w:t>
      </w:r>
      <w:r>
        <w:t xml:space="preserve">sampling intensity of about 1 location per 2400 ha according to an</w:t>
      </w:r>
      <w:r>
        <w:t xml:space="preserve"> </w:t>
      </w:r>
      <w:r>
        <w:t xml:space="preserve">unaligned, quasi-systematic equal probability sample design. This design</w:t>
      </w:r>
      <w:r>
        <w:t xml:space="preserve"> </w:t>
      </w:r>
      <w:r>
        <w:t xml:space="preserve">is spatially dispersed with deviation from a regular grid</w:t>
      </w:r>
      <w:r>
        <w:t xml:space="preserve"> </w:t>
      </w:r>
      <w:r>
        <w:t xml:space="preserve">to avoid alignment of sample locations with periodic population features.</w:t>
      </w:r>
      <w:r>
        <w:t xml:space="preserve"> </w:t>
      </w:r>
      <w:r>
        <w:t xml:space="preserve">Statistical inference on forest population</w:t>
      </w:r>
      <w:r>
        <w:t xml:space="preserve"> </w:t>
      </w:r>
      <w:r>
        <w:t xml:space="preserve">status and change parameters is enabled by measurements of forest</w:t>
      </w:r>
      <w:r>
        <w:t xml:space="preserve"> </w:t>
      </w:r>
      <w:r>
        <w:t xml:space="preserve">vegetation traits made at these locations by field crews.</w:t>
      </w:r>
    </w:p>
    <w:p>
      <w:pPr>
        <w:pStyle w:val="BodyText"/>
      </w:pPr>
      <w:r>
        <w:t xml:space="preserve">Historically, FIA sample locations in each state were visited periodically</w:t>
      </w:r>
      <w:r>
        <w:t xml:space="preserve"> </w:t>
      </w:r>
      <w:r>
        <w:t xml:space="preserve">as time, budgets, and workforce capacity allowed. This approach offered</w:t>
      </w:r>
      <w:r>
        <w:t xml:space="preserve"> </w:t>
      </w:r>
      <w:r>
        <w:t xml:space="preserve">logistical flexibility but complicated analysis and reporting timelines.</w:t>
      </w:r>
      <w:r>
        <w:t xml:space="preserve"> </w:t>
      </w:r>
      <w:r>
        <w:t xml:space="preserve">In the early 2000’s the program shifted</w:t>
      </w:r>
      <w:r>
        <w:t xml:space="preserve"> </w:t>
      </w:r>
      <w:r>
        <w:t xml:space="preserve">from periodic to annual inventory protocols calling for approximately equal</w:t>
      </w:r>
      <w:r>
        <w:t xml:space="preserve"> </w:t>
      </w:r>
      <w:r>
        <w:t xml:space="preserve">numbers of plot measurements each year on schedules</w:t>
      </w:r>
      <w:r>
        <w:t xml:space="preserve"> </w:t>
      </w:r>
      <w:r>
        <w:t xml:space="preserve">intended to be fixed and consistent within states.</w:t>
      </w:r>
      <w:r>
        <w:t xml:space="preserve"> </w:t>
      </w:r>
      <w:r>
        <w:t xml:space="preserve">Under this annual inventory, each</w:t>
      </w:r>
      <w:r>
        <w:t xml:space="preserve"> </w:t>
      </w:r>
      <w:r>
        <w:t xml:space="preserve">plot location in a state is assigned to one of a set of panels,</w:t>
      </w:r>
      <w:r>
        <w:t xml:space="preserve"> </w:t>
      </w:r>
      <w:r>
        <w:t xml:space="preserve">and all plot locations assigned to a panel are designated for measurement in the</w:t>
      </w:r>
      <w:r>
        <w:t xml:space="preserve"> </w:t>
      </w:r>
      <w:r>
        <w:t xml:space="preserve">same year. The panels in a state together comprise an inventory cycle, and</w:t>
      </w:r>
      <w:r>
        <w:t xml:space="preserve"> </w:t>
      </w:r>
      <w:r>
        <w:t xml:space="preserve">inventory cycles range in length from 5 or 7 years in the eastern US to 10 years in the west.</w:t>
      </w:r>
      <w:r>
        <w:t xml:space="preserve"> </w:t>
      </w:r>
      <w:r>
        <w:t xml:space="preserve">Once the final panel in an inventory</w:t>
      </w:r>
      <w:r>
        <w:t xml:space="preserve"> </w:t>
      </w:r>
      <w:r>
        <w:t xml:space="preserve">cycle is complete, remeasurements at sample locations in the first panel begin the following year.</w:t>
      </w:r>
      <w:r>
        <w:t xml:space="preserve"> </w:t>
      </w:r>
      <w:r>
        <w:t xml:space="preserve">For more information regarding the FIA sample design see</w:t>
      </w:r>
      <w:r>
        <w:t xml:space="preserve"> </w:t>
      </w:r>
      <w:r>
        <w:t xml:space="preserve">(Bechtold and Patterson 2005; Westfall, Coulston, et al. 2022, chap. 2)</w:t>
      </w:r>
      <w:r>
        <w:t xml:space="preserve">.</w:t>
      </w:r>
    </w:p>
    <w:p>
      <w:pPr>
        <w:pStyle w:val="BodyText"/>
      </w:pPr>
      <w:r>
        <w:t xml:space="preserve">In general, FIA requires that a panel be complete before the associated tabular</w:t>
      </w:r>
      <w:r>
        <w:t xml:space="preserve"> </w:t>
      </w:r>
      <w:r>
        <w:t xml:space="preserve">data are pushed to its public-facing databases, which the program endeavors to do</w:t>
      </w:r>
      <w:r>
        <w:t xml:space="preserve"> </w:t>
      </w:r>
      <w:r>
        <w:t xml:space="preserve">within 1 year of panel completion. Similarly, FIA requires a complete inventory cycle</w:t>
      </w:r>
      <w:r>
        <w:t xml:space="preserve"> </w:t>
      </w:r>
      <w:r>
        <w:t xml:space="preserve">within a state to publish official state-scale estimates</w:t>
      </w:r>
      <w:r>
        <w:t xml:space="preserve"> </w:t>
      </w:r>
      <w:r>
        <w:t xml:space="preserve">of forest parameters in fulfillment of</w:t>
      </w:r>
      <w:r>
        <w:t xml:space="preserve"> </w:t>
      </w:r>
      <w:r>
        <w:t xml:space="preserve">Congressional reporting obligations. In practice, however,</w:t>
      </w:r>
      <w:r>
        <w:t xml:space="preserve"> </w:t>
      </w:r>
      <w:r>
        <w:t xml:space="preserve">adherence to the annual design described above has proven very challenging or</w:t>
      </w:r>
      <w:r>
        <w:t xml:space="preserve"> </w:t>
      </w:r>
      <w:r>
        <w:t xml:space="preserve">impossible for the FIA Program. Instead, delayed and skipped field measurements</w:t>
      </w:r>
      <w:r>
        <w:t xml:space="preserve"> </w:t>
      </w:r>
      <w:r>
        <w:t xml:space="preserve">cause unintentional lengthening of inventory cycles</w:t>
      </w:r>
      <w:r>
        <w:t xml:space="preserve"> </w:t>
      </w:r>
      <w:r>
        <w:t xml:space="preserve">and/or survey nonresponse</w:t>
      </w:r>
      <w:r>
        <w:t xml:space="preserve"> </w:t>
      </w:r>
      <w:r>
        <w:t xml:space="preserve">(see, e.g., Särndal and Lundström 2005)</w:t>
      </w:r>
      <w:r>
        <w:t xml:space="preserve">,</w:t>
      </w:r>
      <w:r>
        <w:t xml:space="preserve"> </w:t>
      </w:r>
      <w:r>
        <w:t xml:space="preserve">at rates that vary regionally and over time.</w:t>
      </w:r>
    </w:p>
    <w:p>
      <w:pPr>
        <w:pStyle w:val="BodyText"/>
      </w:pPr>
      <w:r>
        <w:t xml:space="preserve">The underlying causes</w:t>
      </w:r>
      <w:r>
        <w:t xml:space="preserve"> </w:t>
      </w:r>
      <w:r>
        <w:t xml:space="preserve">of delayed and skipped field measurements are varied, and can be chronic</w:t>
      </w:r>
      <w:r>
        <w:t xml:space="preserve"> </w:t>
      </w:r>
      <w:r>
        <w:t xml:space="preserve">(e.g., denied access to private lands</w:t>
      </w:r>
      <w:r>
        <w:t xml:space="preserve"> </w:t>
      </w:r>
      <w:r>
        <w:t xml:space="preserve">(Westfall, Schroeder, et al. 2022)</w:t>
      </w:r>
      <w:r>
        <w:t xml:space="preserve">,</w:t>
      </w:r>
      <w:r>
        <w:t xml:space="preserve"> </w:t>
      </w:r>
      <w:r>
        <w:t xml:space="preserve">logistical or administrative challenges in remote regions</w:t>
      </w:r>
      <w:r>
        <w:t xml:space="preserve"> </w:t>
      </w:r>
      <w:r>
        <w:t xml:space="preserve">(Affleck et al. 2026)</w:t>
      </w:r>
      <w:r>
        <w:t xml:space="preserve">,</w:t>
      </w:r>
      <w:r>
        <w:t xml:space="preserve"> </w:t>
      </w:r>
      <w:r>
        <w:t xml:space="preserve">persistent workforce and budgetary constraints</w:t>
      </w:r>
      <w:r>
        <w:t xml:space="preserve"> </w:t>
      </w:r>
      <w:r>
        <w:t xml:space="preserve">(Conroy 2026)</w:t>
      </w:r>
      <w:r>
        <w:t xml:space="preserve">)</w:t>
      </w:r>
      <w:r>
        <w:t xml:space="preserve"> </w:t>
      </w:r>
      <w:r>
        <w:t xml:space="preserve">or can result from discrete events (e.g., the COVID19 pandemic</w:t>
      </w:r>
      <w:r>
        <w:t xml:space="preserve"> </w:t>
      </w:r>
      <w:r>
        <w:t xml:space="preserve">(Akinsorotan et al. 2021)</w:t>
      </w:r>
      <w:r>
        <w:t xml:space="preserve">).</w:t>
      </w:r>
      <w:r>
        <w:t xml:space="preserve"> </w:t>
      </w:r>
      <w:r>
        <w:t xml:space="preserve">Late measurements of temporally dynamic variables can induce a</w:t>
      </w:r>
      <w:r>
        <w:t xml:space="preserve"> </w:t>
      </w:r>
      <w:r>
        <w:t xml:space="preserve">“time lag”</w:t>
      </w:r>
      <w:r>
        <w:t xml:space="preserve"> </w:t>
      </w:r>
      <w:r>
        <w:t xml:space="preserve">bias</w:t>
      </w:r>
      <w:r>
        <w:t xml:space="preserve"> </w:t>
      </w:r>
      <w:r>
        <w:t xml:space="preserve">in point estimates when the time component of the estimand is not adjusted accordkingly.</w:t>
      </w:r>
      <w:r>
        <w:t xml:space="preserve"> </w:t>
      </w:r>
      <w:r>
        <w:t xml:space="preserve">Further, survey nonresponse can introduce nonresponse bias to estimates</w:t>
      </w:r>
      <w:r>
        <w:t xml:space="preserve"> </w:t>
      </w:r>
      <w:r>
        <w:t xml:space="preserve">of population parameters when response propensity is correlated with the attribute</w:t>
      </w:r>
      <w:r>
        <w:t xml:space="preserve"> </w:t>
      </w:r>
      <w:r>
        <w:t xml:space="preserve">of interest.</w:t>
      </w:r>
      <w:r>
        <w:t xml:space="preserve"> </w:t>
      </w:r>
      <w:r>
        <w:t xml:space="preserve">Better understanding of patterns</w:t>
      </w:r>
      <w:r>
        <w:t xml:space="preserve"> </w:t>
      </w:r>
      <w:r>
        <w:t xml:space="preserve">in late and skipped measurements</w:t>
      </w:r>
      <w:r>
        <w:t xml:space="preserve"> </w:t>
      </w:r>
      <w:r>
        <w:t xml:space="preserve">(Conroy 2026)</w:t>
      </w:r>
      <w:r>
        <w:t xml:space="preserve">,</w:t>
      </w:r>
      <w:r>
        <w:t xml:space="preserve"> </w:t>
      </w:r>
      <w:r>
        <w:t xml:space="preserve">and the investigation of new sampling and estimation techniques</w:t>
      </w:r>
      <w:r>
        <w:t xml:space="preserve"> </w:t>
      </w:r>
      <w:r>
        <w:t xml:space="preserve">to ameliorate the statistical consequences of nonresponse</w:t>
      </w:r>
      <w:r>
        <w:t xml:space="preserve"> </w:t>
      </w:r>
      <w:r>
        <w:t xml:space="preserve">(Westfall 2022; Westfall and Patterson 2026)</w:t>
      </w:r>
      <w:r>
        <w:t xml:space="preserve"> </w:t>
      </w:r>
      <w:r>
        <w:t xml:space="preserve">are active research</w:t>
      </w:r>
      <w:r>
        <w:t xml:space="preserve"> </w:t>
      </w:r>
      <w:r>
        <w:t xml:space="preserve">topics, but beyond the scope of the present study.</w:t>
      </w:r>
    </w:p>
    <w:p>
      <w:pPr>
        <w:pStyle w:val="BodyText"/>
      </w:pPr>
      <w:r>
        <w:t xml:space="preserve">Of immediate practical concern for FIA and its external partners are the strain on</w:t>
      </w:r>
      <w:r>
        <w:t xml:space="preserve"> </w:t>
      </w:r>
      <w:r>
        <w:t xml:space="preserve">field staff and delays to tabular data publication that result from delayed</w:t>
      </w:r>
      <w:r>
        <w:t xml:space="preserve"> </w:t>
      </w:r>
      <w:r>
        <w:t xml:space="preserve">field measurements. Methods have been proposed to control the measurement delay</w:t>
      </w:r>
      <w:r>
        <w:t xml:space="preserve"> </w:t>
      </w:r>
      <w:r>
        <w:t xml:space="preserve">process by disaggregating FIA’s annual panel structure into subpanels while still preserving the spatial</w:t>
      </w:r>
      <w:r>
        <w:t xml:space="preserve"> </w:t>
      </w:r>
      <w:r>
        <w:t xml:space="preserve">dispersion of the FIA sample network within field season</w:t>
      </w:r>
      <w:r>
        <w:t xml:space="preserve"> </w:t>
      </w:r>
      <w:r>
        <w:t xml:space="preserve">years. Disaggregation of panels into subpanels enables intentional alignment of workloads with anticipated data</w:t>
      </w:r>
      <w:r>
        <w:t xml:space="preserve"> </w:t>
      </w:r>
      <w:r>
        <w:t xml:space="preserve">acquisition workforce capacity in each field season year through the application of variable</w:t>
      </w:r>
      <w:r>
        <w:t xml:space="preserve"> </w:t>
      </w:r>
      <w:r>
        <w:t xml:space="preserve">annual field sampling effort within individual states.</w:t>
      </w:r>
    </w:p>
    <w:p>
      <w:pPr>
        <w:pStyle w:val="BodyText"/>
      </w:pPr>
      <w:r>
        <w:t xml:space="preserve">Though the logistical advantages of variable annual effort (VAE) are profound (i.e., it can help</w:t>
      </w:r>
      <w:r>
        <w:t xml:space="preserve"> </w:t>
      </w:r>
      <w:r>
        <w:t xml:space="preserve">ensure the long-term viability of the inventory in the context of funding and staffing</w:t>
      </w:r>
      <w:r>
        <w:t xml:space="preserve"> </w:t>
      </w:r>
      <w:r>
        <w:t xml:space="preserve">volatility), the statistical consequences of the redistribution of partial</w:t>
      </w:r>
      <w:r>
        <w:t xml:space="preserve"> </w:t>
      </w:r>
      <w:r>
        <w:t xml:space="preserve">panels within inventory cycles, and of extended and variable inventory cycle lengths, are</w:t>
      </w:r>
      <w:r>
        <w:t xml:space="preserve"> </w:t>
      </w:r>
      <w:r>
        <w:t xml:space="preserve">unknown across states and</w:t>
      </w:r>
      <w:r>
        <w:t xml:space="preserve"> </w:t>
      </w:r>
      <w:r>
        <w:t xml:space="preserve">epochs. In particular, a need exists to understand and communicate to stakeholders how</w:t>
      </w:r>
      <w:r>
        <w:t xml:space="preserve"> </w:t>
      </w:r>
      <w:r>
        <w:t xml:space="preserve">adoption of VAE protocols may influence the statistical properties of forest parameter estimates</w:t>
      </w:r>
      <w:r>
        <w:t xml:space="preserve"> </w:t>
      </w:r>
      <w:r>
        <w:t xml:space="preserve">published by FIA in fulfillment of Congressional reporting imperatives.</w:t>
      </w:r>
    </w:p>
    <w:p>
      <w:pPr>
        <w:pStyle w:val="BodyText"/>
      </w:pPr>
      <w:r>
        <w:t xml:space="preserve">Therefore, our research objectives in this study are to:</w:t>
      </w:r>
    </w:p>
    <w:p>
      <w:pPr>
        <w:pStyle w:val="Compact"/>
        <w:numPr>
          <w:ilvl w:val="0"/>
          <w:numId w:val="1001"/>
        </w:numPr>
      </w:pPr>
      <w:r>
        <w:t xml:space="preserve">define three VAE regimens with respect to subpanels</w:t>
      </w:r>
      <w:r>
        <w:t xml:space="preserve"> </w:t>
      </w:r>
      <w:r>
        <w:t xml:space="preserve">(fast and slow start, dropped subpanels, and extended</w:t>
      </w:r>
      <w:r>
        <w:t xml:space="preserve"> </w:t>
      </w:r>
      <w:r>
        <w:t xml:space="preserve">and shortened cycle lengths) intended to be representative of circumstances FIA could</w:t>
      </w:r>
      <w:r>
        <w:t xml:space="preserve"> </w:t>
      </w:r>
      <w:r>
        <w:t xml:space="preserve">conceivably encounter in program administration</w:t>
      </w:r>
    </w:p>
    <w:p>
      <w:pPr>
        <w:pStyle w:val="Compact"/>
        <w:numPr>
          <w:ilvl w:val="0"/>
          <w:numId w:val="1001"/>
        </w:numPr>
      </w:pPr>
      <w:r>
        <w:t xml:space="preserve">simulate the influence of those three VAE regimens on state-scale, inventory-cycle wide</w:t>
      </w:r>
      <w:r>
        <w:t xml:space="preserve"> </w:t>
      </w:r>
      <w:r>
        <w:t xml:space="preserve">estimates of total net merchantable timber volume for three US states with distinct</w:t>
      </w:r>
      <w:r>
        <w:t xml:space="preserve"> </w:t>
      </w:r>
      <w:r>
        <w:t xml:space="preserve">forest types, ecological attributes, and FIA inventory cycle lengths.</w:t>
      </w:r>
    </w:p>
    <w:p>
      <w:pPr>
        <w:pStyle w:val="Compact"/>
        <w:numPr>
          <w:ilvl w:val="0"/>
          <w:numId w:val="1001"/>
        </w:numPr>
      </w:pPr>
      <w:r>
        <w:t xml:space="preserve">visualize and discuss simulation results in the context of implications for</w:t>
      </w:r>
      <w:r>
        <w:t xml:space="preserve"> </w:t>
      </w:r>
      <w:r>
        <w:t xml:space="preserve">FIA program operations and the management of US forests.</w:t>
      </w:r>
    </w:p>
    <w:bookmarkEnd w:id="9"/>
    <w:bookmarkStart w:id="10" w:name="sec-data-methods"/>
    <w:p>
      <w:pPr>
        <w:pStyle w:val="Heading2"/>
      </w:pPr>
      <w:r>
        <w:t xml:space="preserve">2 Data &amp; Methods</w:t>
      </w:r>
    </w:p>
    <w:bookmarkEnd w:id="10"/>
    <w:bookmarkStart w:id="11" w:name="discussion"/>
    <w:p>
      <w:pPr>
        <w:pStyle w:val="Heading2"/>
      </w:pPr>
      <w:r>
        <w:t xml:space="preserve">3 Discussion</w:t>
      </w:r>
    </w:p>
    <w:bookmarkEnd w:id="11"/>
    <w:bookmarkStart w:id="12" w:name="conclusion"/>
    <w:p>
      <w:pPr>
        <w:pStyle w:val="Heading2"/>
      </w:pPr>
      <w:r>
        <w:t xml:space="preserve">4 Conclusion</w:t>
      </w:r>
    </w:p>
    <w:bookmarkEnd w:id="12"/>
    <w:bookmarkStart w:id="23" w:name="references"/>
    <w:p>
      <w:pPr>
        <w:pStyle w:val="Heading2"/>
      </w:pPr>
      <w:r>
        <w:t xml:space="preserve">References</w:t>
      </w:r>
    </w:p>
    <w:bookmarkStart w:id="22" w:name="refs"/>
    <w:bookmarkStart w:id="13" w:name="ref-affleck2026inventory"/>
    <w:p>
      <w:pPr>
        <w:pStyle w:val="Bibliography"/>
      </w:pPr>
      <w:r>
        <w:t xml:space="preserve">Affleck, David LR, George C Gaines III, Cici Conroy, Gianna Santino, and Andrew J Larson. 2026.</w:t>
      </w:r>
      <w:r>
        <w:t xml:space="preserve"> </w:t>
      </w:r>
      <w:r>
        <w:t xml:space="preserve">“Inventory Measurement Rates Lag in Wilderness Areas Across the Western USA.”</w:t>
      </w:r>
      <w:r>
        <w:t xml:space="preserve"> </w:t>
      </w:r>
      <w:r>
        <w:rPr>
          <w:i/>
          <w:iCs/>
        </w:rPr>
        <w:t xml:space="preserve">Forest Science</w:t>
      </w:r>
      <w:r>
        <w:t xml:space="preserve"> </w:t>
      </w:r>
      <w:r>
        <w:t xml:space="preserve">72 (1): 95–102.</w:t>
      </w:r>
    </w:p>
    <w:bookmarkEnd w:id="13"/>
    <w:bookmarkStart w:id="14" w:name="ref-covid"/>
    <w:p>
      <w:pPr>
        <w:pStyle w:val="Bibliography"/>
      </w:pPr>
      <w:r>
        <w:t xml:space="preserve">Akinsorotan, Oluseun A, Oluwatobi E Olaniyi, Ayomide A Adeyemi, and Adeola H Olasunkanmi. 2021.</w:t>
      </w:r>
      <w:r>
        <w:t xml:space="preserve"> </w:t>
      </w:r>
      <w:r>
        <w:t xml:space="preserve">“Corona Virus Pandemic: Implication on Biodiversity Conservation.”</w:t>
      </w:r>
      <w:r>
        <w:t xml:space="preserve"> </w:t>
      </w:r>
      <w:r>
        <w:rPr>
          <w:i/>
          <w:iCs/>
        </w:rPr>
        <w:t xml:space="preserve">Frontiers in Water</w:t>
      </w:r>
      <w:r>
        <w:t xml:space="preserve"> </w:t>
      </w:r>
      <w:r>
        <w:t xml:space="preserve">3: 635529.</w:t>
      </w:r>
    </w:p>
    <w:bookmarkEnd w:id="14"/>
    <w:bookmarkStart w:id="15" w:name="ref-gb1"/>
    <w:p>
      <w:pPr>
        <w:pStyle w:val="Bibliography"/>
      </w:pPr>
      <w:r>
        <w:t xml:space="preserve">Bechtold, William A, and Paul L Patterson. 2005.</w:t>
      </w:r>
      <w:r>
        <w:t xml:space="preserve"> </w:t>
      </w:r>
      <w:r>
        <w:rPr>
          <w:i/>
          <w:iCs/>
        </w:rPr>
        <w:t xml:space="preserve">The Enhanced Forest Inventory and Analysis Program–National Sampling Design and Estimation Procedures</w:t>
      </w:r>
      <w:r>
        <w:t xml:space="preserve">. USDA Forest Service, Southern Research Station.</w:t>
      </w:r>
    </w:p>
    <w:bookmarkEnd w:id="15"/>
    <w:bookmarkStart w:id="16" w:name="ref-conroy_thesis"/>
    <w:p>
      <w:pPr>
        <w:pStyle w:val="Bibliography"/>
      </w:pPr>
      <w:r>
        <w:t xml:space="preserve">Conroy, Cici. 2026.</w:t>
      </w:r>
      <w:r>
        <w:t xml:space="preserve"> </w:t>
      </w:r>
      <w:r>
        <w:rPr>
          <w:i/>
          <w:iCs/>
        </w:rPr>
        <w:t xml:space="preserve">Elevated FIA Nonresponse Rates in Wilderness: Investigating Barriers and Potential Solutions</w:t>
      </w:r>
      <w:r>
        <w:t xml:space="preserve">.</w:t>
      </w:r>
    </w:p>
    <w:bookmarkEnd w:id="16"/>
    <w:bookmarkStart w:id="17" w:name="ref-sarndal_nonresponse"/>
    <w:p>
      <w:pPr>
        <w:pStyle w:val="Bibliography"/>
      </w:pPr>
      <w:r>
        <w:t xml:space="preserve">Särndal, Carl-Erik, and Sixten Lundström. 2005.</w:t>
      </w:r>
      <w:r>
        <w:t xml:space="preserve"> </w:t>
      </w:r>
      <w:r>
        <w:rPr>
          <w:i/>
          <w:iCs/>
        </w:rPr>
        <w:t xml:space="preserve">Estimation in Surveys with Nonresponse</w:t>
      </w:r>
      <w:r>
        <w:t xml:space="preserve">. John Wiley &amp; Sons.</w:t>
      </w:r>
    </w:p>
    <w:bookmarkEnd w:id="17"/>
    <w:bookmarkStart w:id="18" w:name="ref-westfall2022estimation"/>
    <w:p>
      <w:pPr>
        <w:pStyle w:val="Bibliography"/>
      </w:pPr>
      <w:r>
        <w:t xml:space="preserve">Westfall, James A. 2022.</w:t>
      </w:r>
      <w:r>
        <w:t xml:space="preserve"> </w:t>
      </w:r>
      <w:r>
        <w:t xml:space="preserve">“An Estimation Method to Reduce Complete and Partial Nonresponse Bias in Forest Inventory.”</w:t>
      </w:r>
      <w:r>
        <w:t xml:space="preserve"> </w:t>
      </w:r>
      <w:r>
        <w:rPr>
          <w:i/>
          <w:iCs/>
        </w:rPr>
        <w:t xml:space="preserve">European Journal of Forest Research</w:t>
      </w:r>
      <w:r>
        <w:t xml:space="preserve"> </w:t>
      </w:r>
      <w:r>
        <w:t xml:space="preserve">141 (5): 901–7.</w:t>
      </w:r>
    </w:p>
    <w:bookmarkEnd w:id="18"/>
    <w:bookmarkStart w:id="19" w:name="ref-gb2"/>
    <w:p>
      <w:pPr>
        <w:pStyle w:val="Bibliography"/>
      </w:pPr>
      <w:r>
        <w:t xml:space="preserve">Westfall, James A, John W Coulston, Gretchen G Moisen, and H-E Andersen. 2022.</w:t>
      </w:r>
      <w:r>
        <w:t xml:space="preserve"> </w:t>
      </w:r>
      <w:r>
        <w:t xml:space="preserve">“Sampling and Estimation Documentation for the Enhanced Forest Inventory and Analysis Program: 2022.”</w:t>
      </w:r>
      <w:r>
        <w:t xml:space="preserve"> </w:t>
      </w:r>
      <w:r>
        <w:rPr>
          <w:i/>
          <w:iCs/>
        </w:rPr>
        <w:t xml:space="preserve">Gen. Tech. Rep. NRS-GTR-207. Madison, WI: US Department of Agriculture, Forest Service, Northern Research Station. 129 p.</w:t>
      </w:r>
      <w:r>
        <w:t xml:space="preserve"> </w:t>
      </w:r>
      <w:r>
        <w:t xml:space="preserve">207: 1–129.</w:t>
      </w:r>
    </w:p>
    <w:bookmarkEnd w:id="19"/>
    <w:bookmarkStart w:id="20" w:name="ref-westfall2026double"/>
    <w:p>
      <w:pPr>
        <w:pStyle w:val="Bibliography"/>
      </w:pPr>
      <w:r>
        <w:t xml:space="preserve">Westfall, James A, and Paul L Patterson. 2026.</w:t>
      </w:r>
      <w:r>
        <w:t xml:space="preserve"> </w:t>
      </w:r>
      <w:r>
        <w:t xml:space="preserve">“Double Ratio Estimation Within a Design-Based Nonresponse Bias Mitigation Strategy.”</w:t>
      </w:r>
      <w:r>
        <w:t xml:space="preserve"> </w:t>
      </w:r>
      <w:r>
        <w:rPr>
          <w:i/>
          <w:iCs/>
        </w:rPr>
        <w:t xml:space="preserve">Forestry: An International Journal of Forest Research</w:t>
      </w:r>
      <w:r>
        <w:t xml:space="preserve"> </w:t>
      </w:r>
      <w:r>
        <w:t xml:space="preserve">99 (1): cpaf032.</w:t>
      </w:r>
    </w:p>
    <w:bookmarkEnd w:id="20"/>
    <w:bookmarkStart w:id="21" w:name="ref-westfall2022spatial"/>
    <w:p>
      <w:pPr>
        <w:pStyle w:val="Bibliography"/>
      </w:pPr>
      <w:r>
        <w:t xml:space="preserve">Westfall, James A, Todd A Schroeder, Joseph M McCollum, and Paul L Patterson. 2022.</w:t>
      </w:r>
      <w:r>
        <w:t xml:space="preserve"> </w:t>
      </w:r>
      <w:r>
        <w:t xml:space="preserve">“A Spatial and Temporal Assessment of Nonresponse in the National Forest Inventory of the US.”</w:t>
      </w:r>
      <w:r>
        <w:t xml:space="preserve"> </w:t>
      </w:r>
      <w:r>
        <w:rPr>
          <w:i/>
          <w:iCs/>
        </w:rPr>
        <w:t xml:space="preserve">Environmental Monitoring and Assessment</w:t>
      </w:r>
      <w:r>
        <w:t xml:space="preserve"> </w:t>
      </w:r>
      <w:r>
        <w:t xml:space="preserve">194 (8): 530.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Assessing the influence of variable annual sampling effort on official national forest inventory statistics</dc:title>
  <dc:creator>George C. Gaines III; Bryce Frank; KaDonna Randolph; Jim Westfall</dc:creator>
  <cp:keywords>Forest Inventory and Analysis, national forest inventory, sample design</cp:keywords>
  <dcterms:created xsi:type="dcterms:W3CDTF">2026-10-26T22:27:43Z</dcterms:created>
  <dcterms:modified xsi:type="dcterms:W3CDTF">2026-10-26T22:27:43Z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this study we…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colorlinks">
    <vt:lpwstr>True</vt:lpwstr>
  </property>
  <property fmtid="{D5CDD505-2E9C-101B-9397-08002B2CF9AE}" pid="12" name="crossref">
    <vt:lpwstr/>
  </property>
  <property fmtid="{D5CDD505-2E9C-101B-9397-08002B2CF9AE}" pid="13" name="date">
    <vt:lpwstr>Oct 26, 2026</vt:lpwstr>
  </property>
  <property fmtid="{D5CDD505-2E9C-101B-9397-08002B2CF9AE}" pid="14" name="date-format">
    <vt:lpwstr>MMM D, YYYY</vt:lpwstr>
  </property>
  <property fmtid="{D5CDD505-2E9C-101B-9397-08002B2CF9AE}" pid="15" name="editor">
    <vt:lpwstr>source</vt:lpwstr>
  </property>
  <property fmtid="{D5CDD505-2E9C-101B-9397-08002B2CF9AE}" pid="16" name="funding">
    <vt:lpwstr/>
  </property>
  <property fmtid="{D5CDD505-2E9C-101B-9397-08002B2CF9AE}" pid="17" name="google-scholar">
    <vt:lpwstr>True</vt:lpwstr>
  </property>
  <property fmtid="{D5CDD505-2E9C-101B-9397-08002B2CF9AE}" pid="18" name="header-includes">
    <vt:lpwstr/>
  </property>
  <property fmtid="{D5CDD505-2E9C-101B-9397-08002B2CF9AE}" pid="19" name="include-after">
    <vt:lpwstr/>
  </property>
  <property fmtid="{D5CDD505-2E9C-101B-9397-08002B2CF9AE}" pid="20" name="include-before">
    <vt:lpwstr/>
  </property>
  <property fmtid="{D5CDD505-2E9C-101B-9397-08002B2CF9AE}" pid="21" name="labels">
    <vt:lpwstr/>
  </property>
  <property fmtid="{D5CDD505-2E9C-101B-9397-08002B2CF9AE}" pid="22" name="lightbox">
    <vt:lpwstr>auto</vt:lpwstr>
  </property>
  <property fmtid="{D5CDD505-2E9C-101B-9397-08002B2CF9AE}" pid="23" name="manuscript">
    <vt:lpwstr/>
  </property>
  <property fmtid="{D5CDD505-2E9C-101B-9397-08002B2CF9AE}" pid="24" name="notebook-preview-options">
    <vt:lpwstr/>
  </property>
  <property fmtid="{D5CDD505-2E9C-101B-9397-08002B2CF9AE}" pid="25" name="quarto-internal">
    <vt:lpwstr/>
  </property>
  <property fmtid="{D5CDD505-2E9C-101B-9397-08002B2CF9AE}" pid="26" name="remove-hidden">
    <vt:lpwstr>all</vt:lpwstr>
  </property>
  <property fmtid="{D5CDD505-2E9C-101B-9397-08002B2CF9AE}" pid="27" name="template-partials">
    <vt:lpwstr/>
  </property>
  <property fmtid="{D5CDD505-2E9C-101B-9397-08002B2CF9AE}" pid="28" name="theme">
    <vt:lpwstr>cosmo</vt:lpwstr>
  </property>
  <property fmtid="{D5CDD505-2E9C-101B-9397-08002B2CF9AE}" pid="29" name="title-block-style">
    <vt:lpwstr>manuscript</vt:lpwstr>
  </property>
  <property fmtid="{D5CDD505-2E9C-101B-9397-08002B2CF9AE}" pid="30" name="toc-title">
    <vt:lpwstr>Table of contents</vt:lpwstr>
  </property>
  <property fmtid="{D5CDD505-2E9C-101B-9397-08002B2CF9AE}" pid="31" name="unroll-markdown-cells">
    <vt:lpwstr>True</vt:lpwstr>
  </property>
</Properties>
</file>