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 xml:space="preserve">  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>Felipe Krieger Buche</w:t>
      </w:r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r w:rsidR="00406B15" w:rsidRPr="00406B15">
        <w:t>Billinghurst</w:t>
      </w:r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r w:rsidR="00106203">
        <w:t xml:space="preserve">Lisney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r w:rsidR="00106203">
        <w:t xml:space="preserve">Lisney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>American Alliance of Museums,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r w:rsidR="00341593" w:rsidRPr="00341593">
        <w:t>Cherukuru</w:t>
      </w:r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Code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“Diquinha”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r w:rsidR="0085138D" w:rsidRPr="000D1059">
        <w:t>Diquinha</w:t>
      </w:r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D0A179" w14:textId="22BA32DD" w:rsidR="00646D10" w:rsidRDefault="00646D10" w:rsidP="00646D10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771BA769" w14:textId="77777777" w:rsidR="00646D10" w:rsidRDefault="00646D10" w:rsidP="008E2E22">
      <w:pPr>
        <w:pStyle w:val="TF-TEXTO"/>
      </w:pPr>
    </w:p>
    <w:p w14:paraId="17840B82" w14:textId="4CF22D7C" w:rsidR="001565E7" w:rsidRDefault="00400B18" w:rsidP="008E2E22">
      <w:pPr>
        <w:pStyle w:val="TF-TEXTO"/>
      </w:pPr>
      <w:r w:rsidRPr="00400B18">
        <w:t>O projeto segue o método Design Science Research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>enfrenta desafios como a necessidade de atualizações frequentes e integração com infraestruturas existentes. É fundamental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49544EB8" w14:textId="6620C5E1" w:rsidR="00062A3D" w:rsidRPr="00062A3D" w:rsidRDefault="00062A3D" w:rsidP="00062A3D">
      <w:pPr>
        <w:pStyle w:val="TF-TEXTO"/>
      </w:pPr>
      <w:r w:rsidRPr="00062A3D">
        <w:t>Este enfoque não é trivial, mas sim uma tentativa decisiva de aprimorar profundamente a experiência do usuário e de contribuir significativamente para a pesquisa e desenvolvimento no campo da educação museológica e da tecnologia aplicada. O projeto busca fornecer uma base extremamente robusta para futuras inovações na área e espera-se que os resultados e documentação sejam amplamente compartilhados, beneficiando a comunidade acadêmica e prática com percepções</w:t>
      </w:r>
      <w:r w:rsidR="00353E78">
        <w:t xml:space="preserve"> </w:t>
      </w:r>
      <w:r w:rsidRPr="00062A3D">
        <w:t>valios</w:t>
      </w:r>
      <w:r w:rsidR="00353E78">
        <w:t>a</w:t>
      </w:r>
      <w:r w:rsidRPr="00062A3D">
        <w:t>s sobre a implementação eficiente de tecnologias emergentes em ambientes educativos.</w:t>
      </w:r>
    </w:p>
    <w:p w14:paraId="7E68A56E" w14:textId="77777777" w:rsidR="00062A3D" w:rsidRDefault="00062A3D" w:rsidP="00022938">
      <w:pPr>
        <w:pStyle w:val="TF-TEXTO"/>
      </w:pP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D8A8D6" w14:textId="0CD4D969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(RF) e Requisitos Não Funcionais (RNF):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B699400" w:rsidR="00502776" w:rsidRDefault="005F59E9" w:rsidP="00022938">
      <w:pPr>
        <w:pStyle w:val="TF-ALNEA"/>
      </w:pPr>
      <w:r>
        <w:t xml:space="preserve">o </w:t>
      </w:r>
      <w:r w:rsidR="002103FF" w:rsidRPr="002103FF">
        <w:t>aplicativo deve permitir ao usuário utilizar realidade aumentada para exibir informações adicionais sobre o animal dentro do 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>aplicativo deve ser implementado na linguagem de programação Kotlin (RNF).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StarUML</w:t>
      </w:r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>desenvolvimento: implementação do aplicativo seguindo os requisitos levantados, utilizando Kotlin</w:t>
      </w:r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42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42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r>
        <w:t>REVISÃO 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(Billinghurst;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r>
        <w:t>Dieck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(Azuma,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7A39D75F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2020</w:t>
      </w:r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lastRenderedPageBreak/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r w:rsidRPr="00160F4E">
        <w:t xml:space="preserve">Levoy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(Dieck;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>A acessibilidade é um tema crucial, especialmente em aplicativos destinados ao público em geral, como é o caso dos usados em museus. Wentz e Lazar (2011) discutem a importância de considerar as necessidades de todos os usuários, incluindo aqueles com deficiências visuais, auditivas, motoras ou cognitivas, desde o início do processo de design de tecnologia. Interfaces acessíveis garantem que os aplicativos sirvam ao seu propósito e sejam utilizáveis por todos os visitantes.</w:t>
      </w:r>
    </w:p>
    <w:p w14:paraId="20EC2649" w14:textId="36B63867" w:rsidR="00B61234" w:rsidRDefault="00B61234" w:rsidP="00742004">
      <w:pPr>
        <w:pStyle w:val="TF-TEXTO"/>
      </w:pPr>
      <w:r>
        <w:t>Ao focar em interfaces que todos podem usar, os desenvolvedores podem garantir que os aplicativos não apenas sirvam ao seu propósito, mas também sejam acessíveis a todos os usuários (Mortensen; Spillers, 2024).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F33753">
        <w:rPr>
          <w:lang w:val="en-US"/>
        </w:rPr>
        <w:t>Referências</w:t>
      </w:r>
      <w:bookmarkEnd w:id="43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r w:rsidRPr="00F33753">
        <w:rPr>
          <w:lang w:val="en-US"/>
        </w:rPr>
        <w:t>Acesso em: 19 abr. 2024.</w:t>
      </w:r>
    </w:p>
    <w:p w14:paraId="6EDD8769" w14:textId="519528FF" w:rsidR="002B35BB" w:rsidRDefault="002B35BB" w:rsidP="002B35BB">
      <w:pPr>
        <w:pStyle w:val="TF-refernciasITEM"/>
        <w:rPr>
          <w:lang w:val="en-US"/>
        </w:rPr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r w:rsidRPr="00406D72">
        <w:rPr>
          <w:b/>
          <w:bCs/>
          <w:lang w:val="en-US"/>
        </w:rPr>
        <w:t xml:space="preserve">Presence: Teleoperators &amp; Virtual Environments, </w:t>
      </w:r>
      <w:r w:rsidRPr="00406D72">
        <w:rPr>
          <w:lang w:val="en-US"/>
        </w:rPr>
        <w:t>Malibu,</w:t>
      </w:r>
      <w:r w:rsidRPr="00406D72">
        <w:rPr>
          <w:b/>
          <w:bCs/>
          <w:lang w:val="en-US"/>
        </w:rPr>
        <w:t xml:space="preserve"> </w:t>
      </w:r>
      <w:r w:rsidRPr="00406D72">
        <w:rPr>
          <w:lang w:val="en-US"/>
        </w:rPr>
        <w:t>v. 6, n. 4, p. 355-385, 1997.</w:t>
      </w:r>
      <w:r w:rsidR="00B04F96">
        <w:rPr>
          <w:lang w:val="en-US"/>
        </w:rPr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9B6886">
        <w:t xml:space="preserve">BILLINGHURST, M.; CLARK, A.; LEE, G. A survey of augmented reality. </w:t>
      </w:r>
      <w:r w:rsidRPr="001C5860">
        <w:rPr>
          <w:b/>
          <w:bCs/>
        </w:rPr>
        <w:t>Foundations and Trends® in Human–Computer Interaction</w:t>
      </w:r>
      <w:r w:rsidRPr="009B6886">
        <w:t xml:space="preserve">, </w:t>
      </w:r>
      <w:r w:rsidRPr="00BC0ADE">
        <w:t>[</w:t>
      </w:r>
      <w:r w:rsidRPr="000F7FA2">
        <w:rPr>
          <w:i/>
          <w:iCs/>
        </w:rPr>
        <w:t>S.l</w:t>
      </w:r>
      <w:r>
        <w:rPr>
          <w:i/>
          <w:iCs/>
        </w:rPr>
        <w:t>.</w:t>
      </w:r>
      <w:r w:rsidRPr="00BC0ADE">
        <w:t xml:space="preserve">], </w:t>
      </w:r>
      <w:r w:rsidRPr="009B6886">
        <w:t>v. 8, n. 2</w:t>
      </w:r>
      <w:r>
        <w:t>-</w:t>
      </w:r>
      <w:r w:rsidRPr="009B6886">
        <w:t>3, p. 73</w:t>
      </w:r>
      <w:r>
        <w:t>-</w:t>
      </w:r>
      <w:r w:rsidRPr="009B6886">
        <w:t>272, 2015.</w:t>
      </w:r>
      <w:r>
        <w:t xml:space="preserve"> 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6A4BFD">
        <w:t xml:space="preserve">CHERUKURU, N. </w:t>
      </w:r>
      <w:r w:rsidRPr="006A4BFD">
        <w:rPr>
          <w:i/>
          <w:iCs/>
        </w:rPr>
        <w:t>et al</w:t>
      </w:r>
      <w:r w:rsidRPr="006A4BFD">
        <w:t xml:space="preserve">. Using augmented reality (AR) to create immersive and accessible museums for people with vision impairments. </w:t>
      </w:r>
      <w:r w:rsidRPr="006A4BFD">
        <w:rPr>
          <w:i/>
          <w:iCs/>
        </w:rPr>
        <w:t>In:</w:t>
      </w:r>
      <w:r w:rsidRPr="006A4BFD">
        <w:t xml:space="preserve"> MUSEWEB</w:t>
      </w:r>
      <w:r>
        <w:t>,</w:t>
      </w:r>
      <w:r w:rsidRPr="006A4BFD">
        <w:t xml:space="preserve"> 2021</w:t>
      </w:r>
      <w:r>
        <w:t>, Online</w:t>
      </w:r>
      <w:r w:rsidRPr="006A4BFD">
        <w:t xml:space="preserve">. </w:t>
      </w:r>
      <w:r w:rsidRPr="006A4BFD">
        <w:rPr>
          <w:b/>
          <w:bCs/>
        </w:rPr>
        <w:t>Anais</w:t>
      </w:r>
      <w:r w:rsidRPr="006A4BFD">
        <w:t xml:space="preserve"> [...]. 2021. 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Default="002B35BB" w:rsidP="001F7A1B">
      <w:pPr>
        <w:pStyle w:val="TF-refernciasITEM"/>
      </w:pPr>
      <w:r w:rsidRPr="002B35BB">
        <w:rPr>
          <w:lang w:val="en-US"/>
        </w:rPr>
        <w:t xml:space="preserve">DANTAS, A. C. </w:t>
      </w:r>
      <w:r w:rsidRPr="002B35BB">
        <w:rPr>
          <w:i/>
          <w:iCs/>
          <w:lang w:val="en-US"/>
        </w:rPr>
        <w:t>et al.</w:t>
      </w:r>
      <w:r>
        <w:rPr>
          <w:lang w:val="en-US"/>
        </w:rPr>
        <w:t xml:space="preserve"> </w:t>
      </w:r>
      <w:r w:rsidRPr="00406D72">
        <w:t>Diquinha: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r w:rsidRPr="00065415">
        <w:t>Acesso em: 6 abr. 2024.</w:t>
      </w:r>
    </w:p>
    <w:p w14:paraId="142F0714" w14:textId="51F94D48" w:rsidR="002B35BB" w:rsidRDefault="002B35BB" w:rsidP="002B35BB">
      <w:pPr>
        <w:pStyle w:val="TF-refernciasITEM"/>
        <w:rPr>
          <w:lang w:val="en-US"/>
        </w:rPr>
      </w:pPr>
      <w:r w:rsidRPr="00406D72">
        <w:t>JIANG, Q.</w:t>
      </w:r>
      <w:r>
        <w:t xml:space="preserve"> </w:t>
      </w:r>
      <w:r w:rsidRPr="002B35BB">
        <w:rPr>
          <w:i/>
          <w:iCs/>
          <w:lang w:val="en-US"/>
        </w:rPr>
        <w:t>et al</w:t>
      </w:r>
      <w:r w:rsidRPr="00406D72"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406D72">
        <w:rPr>
          <w:b/>
          <w:bCs/>
          <w:lang w:val="en-US"/>
        </w:rPr>
        <w:t>Systems,</w:t>
      </w:r>
      <w:r>
        <w:rPr>
          <w:lang w:val="en-US"/>
        </w:rPr>
        <w:t xml:space="preserve"> v. </w:t>
      </w:r>
      <w:r w:rsidRPr="00022938">
        <w:rPr>
          <w:lang w:val="en-US"/>
        </w:rPr>
        <w:t>10</w:t>
      </w:r>
      <w:r>
        <w:rPr>
          <w:lang w:val="en-US"/>
        </w:rPr>
        <w:t xml:space="preserve">, n. </w:t>
      </w:r>
      <w:r w:rsidRPr="00022938">
        <w:rPr>
          <w:lang w:val="en-US"/>
        </w:rPr>
        <w:t xml:space="preserve">3, </w:t>
      </w:r>
      <w:r>
        <w:rPr>
          <w:lang w:val="en-US"/>
        </w:rPr>
        <w:t xml:space="preserve">p. </w:t>
      </w:r>
      <w:r w:rsidRPr="00022938">
        <w:rPr>
          <w:lang w:val="en-US"/>
        </w:rPr>
        <w:t>73</w:t>
      </w:r>
      <w:r>
        <w:rPr>
          <w:lang w:val="en-US"/>
        </w:rPr>
        <w:t>, 2022</w:t>
      </w:r>
      <w:r w:rsidRPr="00022938">
        <w:rPr>
          <w:lang w:val="en-US"/>
        </w:rPr>
        <w:t xml:space="preserve">. </w:t>
      </w:r>
      <w:r>
        <w:rPr>
          <w:lang w:val="en-US"/>
        </w:rPr>
        <w:t xml:space="preserve">Disponível em: </w:t>
      </w:r>
      <w:r w:rsidR="009C15C0" w:rsidRPr="009C15C0">
        <w:rPr>
          <w:lang w:val="en-US"/>
        </w:rPr>
        <w:t>https://www.mdpi.com/2079-8954/10/3/73</w:t>
      </w:r>
      <w:r w:rsidRPr="00022938">
        <w:rPr>
          <w:lang w:val="en-US"/>
        </w:rPr>
        <w:t>.</w:t>
      </w:r>
      <w:r>
        <w:rPr>
          <w:lang w:val="en-US"/>
        </w:rPr>
        <w:t xml:space="preserve"> Acesso em: 19 abr. 2024.</w:t>
      </w:r>
    </w:p>
    <w:p w14:paraId="6F7707D0" w14:textId="6FE33AA2" w:rsidR="00BC7CA0" w:rsidRPr="00BC7CA0" w:rsidRDefault="00BC7CA0" w:rsidP="002B35BB">
      <w:pPr>
        <w:pStyle w:val="TF-refernciasITEM"/>
      </w:pPr>
      <w:r w:rsidRPr="00927905">
        <w:t xml:space="preserve">KHAN, A. A. Transforming User Journeys: The Impact Of Intuitive Navigation In Apps. </w:t>
      </w:r>
      <w:r w:rsidRPr="00BC7CA0">
        <w:rPr>
          <w:b/>
          <w:bCs/>
        </w:rPr>
        <w:t>MageNative</w:t>
      </w:r>
      <w:r w:rsidRPr="00D67BF0">
        <w:rPr>
          <w:b/>
          <w:bCs/>
        </w:rPr>
        <w:t>,</w:t>
      </w:r>
      <w:r w:rsidRPr="00927905">
        <w:t xml:space="preserve"> 2023. Disponível em: https://magenative.com/blog/navigation-in-apps/. Acesso em: </w:t>
      </w:r>
      <w:r>
        <w:t xml:space="preserve">15 </w:t>
      </w:r>
      <w:r w:rsidRPr="00927905">
        <w:t>jun. 2024.</w:t>
      </w:r>
    </w:p>
    <w:p w14:paraId="39000928" w14:textId="005E2DC5" w:rsidR="00B04F96" w:rsidRPr="00B04F96" w:rsidRDefault="00B04F96" w:rsidP="002B35BB">
      <w:pPr>
        <w:pStyle w:val="TF-refernciasITEM"/>
      </w:pPr>
      <w:r w:rsidRPr="00B04F96">
        <w:t xml:space="preserve">LEE, T. </w:t>
      </w:r>
      <w:r w:rsidRPr="00B04F96">
        <w:rPr>
          <w:i/>
          <w:iCs/>
        </w:rPr>
        <w:t>et al</w:t>
      </w:r>
      <w:r w:rsidRPr="00B04F96">
        <w:t xml:space="preserve">. A study on recognizing multi-real world object and estimating 3D position in augmented reality. </w:t>
      </w:r>
      <w:r w:rsidRPr="00B04F96">
        <w:rPr>
          <w:b/>
          <w:bCs/>
        </w:rPr>
        <w:t>The Journal of Supercomputing,</w:t>
      </w:r>
      <w:r w:rsidRPr="00B04F96">
        <w:t xml:space="preserve"> [</w:t>
      </w:r>
      <w:r w:rsidRPr="00B04F96">
        <w:rPr>
          <w:i/>
          <w:iCs/>
        </w:rPr>
        <w:t>s.l.</w:t>
      </w:r>
      <w:r w:rsidRPr="00B04F96">
        <w:t>], v. 78, p. 7509-7528, 2022. Disponível em: https://link.springer.com/article/10.1007/s11227-021-04161-0. Acesso em: 1</w:t>
      </w:r>
      <w:r>
        <w:t>5</w:t>
      </w:r>
      <w:r w:rsidRPr="00B04F96">
        <w:t xml:space="preserve"> jun. 2024.</w:t>
      </w:r>
    </w:p>
    <w:p w14:paraId="5F24E682" w14:textId="6E39F93B" w:rsidR="00C90337" w:rsidRDefault="00C90337" w:rsidP="001F7A1B">
      <w:pPr>
        <w:pStyle w:val="TF-refernciasITEM"/>
      </w:pPr>
      <w:r w:rsidRPr="00C90337">
        <w:lastRenderedPageBreak/>
        <w:t xml:space="preserve">LEVOY, M. </w:t>
      </w:r>
      <w:r w:rsidRPr="002B35BB">
        <w:rPr>
          <w:i/>
          <w:iCs/>
          <w:lang w:val="en-US"/>
        </w:rPr>
        <w:t>et al</w:t>
      </w:r>
      <w:r w:rsidRPr="00C90337">
        <w:t xml:space="preserve">. The digital Michelangelo project: 3D scanning of large statues. </w:t>
      </w:r>
      <w:r w:rsidR="00533984" w:rsidRPr="00533984">
        <w:rPr>
          <w:i/>
          <w:iCs/>
        </w:rPr>
        <w:t>In:</w:t>
      </w:r>
      <w:r w:rsidR="00533984">
        <w:t xml:space="preserve"> </w:t>
      </w:r>
      <w:r w:rsidR="00A10C00" w:rsidRPr="00A10C00">
        <w:t>ANNUAL CONFERENCE ON COMPUTER GRAPHICS AND INTERACTIVE TECHNIQUES – SIGGRAPH</w:t>
      </w:r>
      <w:r w:rsidR="00A10C00">
        <w:t xml:space="preserve">, 27., 2000, New </w:t>
      </w:r>
      <w:r w:rsidR="008F4A55">
        <w:t>York</w:t>
      </w:r>
      <w:r w:rsidRPr="00C90337"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C8760C">
        <w:t xml:space="preserve">LISNEY, E. </w:t>
      </w:r>
      <w:r w:rsidRPr="008061EF">
        <w:rPr>
          <w:i/>
          <w:iCs/>
        </w:rPr>
        <w:t>et al</w:t>
      </w:r>
      <w:r w:rsidRPr="00C8760C">
        <w:t xml:space="preserve">. Museums and technology: Being inclusive helps accessibility for all. </w:t>
      </w:r>
      <w:r w:rsidRPr="00C8760C">
        <w:rPr>
          <w:b/>
          <w:bCs/>
        </w:rPr>
        <w:t>Curator: a quarterly publication of the American Museum of Natural History,</w:t>
      </w:r>
      <w:r w:rsidRPr="00C8760C">
        <w:t xml:space="preserve"> </w:t>
      </w:r>
      <w:r w:rsidRPr="000F7FA2">
        <w:t>[</w:t>
      </w:r>
      <w:r>
        <w:rPr>
          <w:i/>
          <w:iCs/>
        </w:rPr>
        <w:t>s</w:t>
      </w:r>
      <w:r w:rsidRPr="008061EF">
        <w:rPr>
          <w:i/>
          <w:iCs/>
        </w:rPr>
        <w:t>.l.</w:t>
      </w:r>
      <w:r w:rsidRPr="000F7FA2">
        <w:t>]</w:t>
      </w:r>
      <w:r>
        <w:t xml:space="preserve">, </w:t>
      </w:r>
      <w:r w:rsidRPr="00C8760C">
        <w:t>v. 56, n. 3, p. 353</w:t>
      </w:r>
      <w:r>
        <w:t>-</w:t>
      </w:r>
      <w:r w:rsidRPr="00C8760C">
        <w:t>361, 2013.</w:t>
      </w:r>
      <w:r>
        <w:t xml:space="preserve"> 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2A15FB">
        <w:t xml:space="preserve">MORTENSEN, D. H.; SPILLERS, F. 3 reasons why accessible design is good for all. </w:t>
      </w:r>
      <w:r w:rsidRPr="002A15FB">
        <w:rPr>
          <w:b/>
          <w:bCs/>
        </w:rPr>
        <w:t>Interaction Design Foundation</w:t>
      </w:r>
      <w:r w:rsidRPr="002A15FB">
        <w:t>, 202</w:t>
      </w:r>
      <w:r>
        <w:t>1</w:t>
      </w:r>
      <w:r w:rsidRPr="002A15FB">
        <w:t xml:space="preserve">. Disponível em: https://www.interaction-design.org/literature/article/3-reasons-why-accessible-design-is-good-for-all. 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9167C9">
        <w:rPr>
          <w:lang w:val="en-US"/>
        </w:rPr>
        <w:t>SILVA, U.</w:t>
      </w:r>
      <w:r w:rsidR="0039730F">
        <w:rPr>
          <w:lang w:val="en-US"/>
        </w:rPr>
        <w:t xml:space="preserve"> L. da</w:t>
      </w:r>
      <w:r w:rsidRPr="009167C9">
        <w:rPr>
          <w:lang w:val="en-US"/>
        </w:rPr>
        <w:t>; BRAGA, R.</w:t>
      </w:r>
      <w:r w:rsidR="0039730F">
        <w:rPr>
          <w:lang w:val="en-US"/>
        </w:rPr>
        <w:t xml:space="preserve"> F.</w:t>
      </w:r>
      <w:r w:rsidRPr="009167C9">
        <w:rPr>
          <w:lang w:val="en-US"/>
        </w:rPr>
        <w:t xml:space="preserve">; SCHERER, D. Uso de QR Code e Realidade Aumentada como suporte a visitação de museu. </w:t>
      </w:r>
      <w:r w:rsidRPr="0039730F">
        <w:rPr>
          <w:b/>
          <w:bCs/>
          <w:lang w:val="en-US"/>
        </w:rPr>
        <w:t>Revista Novas Tecnologias na Educação,</w:t>
      </w:r>
      <w:r w:rsidRPr="009167C9">
        <w:rPr>
          <w:lang w:val="en-US"/>
        </w:rPr>
        <w:t xml:space="preserve"> Porto Alegre, v. 10, n. 2, 2012. DOI: 10.22456/1679-1916.36132. Disponível em: https://seer.ufrgs.br/index.php/renote/article/view/36132. Acesso em: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2231002D" w14:textId="1C9E367C" w:rsidR="00B04F96" w:rsidRPr="00B04F96" w:rsidRDefault="00B04F96" w:rsidP="001F7A1B">
      <w:pPr>
        <w:pStyle w:val="TF-refernciasITEM"/>
      </w:pPr>
      <w:r w:rsidRPr="0028198E">
        <w:t xml:space="preserve">TOM DIECK, M. C. </w:t>
      </w:r>
      <w:r w:rsidRPr="004C184A">
        <w:rPr>
          <w:i/>
          <w:iCs/>
        </w:rPr>
        <w:t>et al</w:t>
      </w:r>
      <w:r w:rsidRPr="0028198E">
        <w:t xml:space="preserve">. Value of augmented reality at cultural heritage sites: A stakeholder approach. </w:t>
      </w:r>
      <w:r w:rsidRPr="0028198E">
        <w:rPr>
          <w:b/>
          <w:bCs/>
        </w:rPr>
        <w:t>Journal of Destination Marketing &amp; Management</w:t>
      </w:r>
      <w:r w:rsidRPr="0028198E">
        <w:t>, [</w:t>
      </w:r>
      <w:r w:rsidRPr="0028198E">
        <w:rPr>
          <w:i/>
          <w:iCs/>
        </w:rPr>
        <w:t>s.l.</w:t>
      </w:r>
      <w:r w:rsidRPr="0028198E">
        <w:t>], v. 6, n. 2, p. 110-117, 2017. Disponível em: https://www.sciencedirect.com/science/article/pii/S2212571X16300774. Acesso em: 1</w:t>
      </w:r>
      <w:r>
        <w:t>5</w:t>
      </w:r>
      <w:r w:rsidRPr="0028198E">
        <w:t xml:space="preserve"> jun. 2024.</w:t>
      </w:r>
    </w:p>
    <w:p w14:paraId="13109876" w14:textId="77777777" w:rsidR="00BC7CA0" w:rsidRDefault="0039730F" w:rsidP="00927905">
      <w:pPr>
        <w:pStyle w:val="TF-refernciasITEM"/>
      </w:pPr>
      <w:r w:rsidRPr="0039730F">
        <w:t>WENTZ,</w:t>
      </w:r>
      <w:r w:rsidR="007C0132">
        <w:t xml:space="preserve"> B.</w:t>
      </w:r>
      <w:r w:rsidRPr="0039730F">
        <w:t xml:space="preserve">; LAZAR, </w:t>
      </w:r>
      <w:r w:rsidR="007C0132">
        <w:t>J</w:t>
      </w:r>
      <w:r w:rsidRPr="0039730F">
        <w:t xml:space="preserve">. Are separate interfaces inherently unequal? An evaluation with blind users of the usability of two interfaces for a social networking platform. </w:t>
      </w:r>
      <w:r w:rsidRPr="007C0132">
        <w:rPr>
          <w:i/>
          <w:iCs/>
        </w:rPr>
        <w:t>In</w:t>
      </w:r>
      <w:r w:rsidRPr="0039730F">
        <w:t xml:space="preserve">: </w:t>
      </w:r>
      <w:r w:rsidR="00983252" w:rsidRPr="00983252">
        <w:t>ICONFERENCE</w:t>
      </w:r>
      <w:r w:rsidRPr="0039730F">
        <w:t xml:space="preserve">, 2011, </w:t>
      </w:r>
      <w:r w:rsidR="008F4A55">
        <w:t>New York</w:t>
      </w:r>
      <w:r w:rsidRPr="0039730F">
        <w:t>.</w:t>
      </w:r>
      <w:r w:rsidR="00983252" w:rsidRPr="00983252">
        <w:rPr>
          <w:b/>
          <w:bCs/>
        </w:rPr>
        <w:t xml:space="preserve"> </w:t>
      </w:r>
      <w:r w:rsidR="00983252" w:rsidRPr="00533984">
        <w:rPr>
          <w:b/>
          <w:bCs/>
        </w:rPr>
        <w:t>Anais</w:t>
      </w:r>
      <w:r w:rsidR="00983252">
        <w:t xml:space="preserve"> [</w:t>
      </w:r>
      <w:r w:rsidR="00983252" w:rsidRPr="00C90337">
        <w:t>...</w:t>
      </w:r>
      <w:r w:rsidR="00983252">
        <w:t>]</w:t>
      </w:r>
      <w:r w:rsidRPr="0039730F">
        <w:t xml:space="preserve">. </w:t>
      </w:r>
      <w:r w:rsidR="00577DC1">
        <w:t>New York</w:t>
      </w:r>
      <w:r w:rsidRPr="0039730F">
        <w:t xml:space="preserve">: ACM, 2011. p. 91-97. </w:t>
      </w:r>
      <w:r w:rsidR="00577DC1">
        <w:t xml:space="preserve">Disponível em: </w:t>
      </w:r>
      <w:r w:rsidR="008F4A55" w:rsidRPr="008F4A55">
        <w:t>https://dl.acm.org/doi/10.1145/1940761.1940774</w:t>
      </w:r>
      <w:r w:rsidR="00577DC1">
        <w:t>. Acesso em: 19 abr. 2024.</w:t>
      </w:r>
    </w:p>
    <w:sectPr w:rsidR="00BC7CA0" w:rsidSect="005054AE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A7F06" w14:textId="77777777" w:rsidR="002C3577" w:rsidRDefault="002C3577">
      <w:r>
        <w:separator/>
      </w:r>
    </w:p>
  </w:endnote>
  <w:endnote w:type="continuationSeparator" w:id="0">
    <w:p w14:paraId="06F163A7" w14:textId="77777777" w:rsidR="002C3577" w:rsidRDefault="002C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D96C" w14:textId="77777777" w:rsidR="002C3577" w:rsidRDefault="002C3577">
      <w:r>
        <w:separator/>
      </w:r>
    </w:p>
  </w:footnote>
  <w:footnote w:type="continuationSeparator" w:id="0">
    <w:p w14:paraId="1DF3178F" w14:textId="77777777" w:rsidR="002C3577" w:rsidRDefault="002C3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519A3"/>
    <w:rsid w:val="00353E78"/>
    <w:rsid w:val="003612DC"/>
    <w:rsid w:val="00362443"/>
    <w:rsid w:val="003625F7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E056F"/>
    <w:rsid w:val="00EE2305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7</Pages>
  <Words>3800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Felipe Krieger Buche</cp:lastModifiedBy>
  <cp:revision>37</cp:revision>
  <cp:lastPrinted>2024-06-18T23:29:00Z</cp:lastPrinted>
  <dcterms:created xsi:type="dcterms:W3CDTF">2024-05-10T14:46:00Z</dcterms:created>
  <dcterms:modified xsi:type="dcterms:W3CDTF">2024-06-18T23:38:00Z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