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B845A" w14:textId="36ABE3AE" w:rsidR="003A40AE" w:rsidRPr="003A40AE" w:rsidRDefault="00C1352D" w:rsidP="00B56B12">
      <w:pPr>
        <w:pStyle w:val="Heading3"/>
      </w:pPr>
      <w:bookmarkStart w:id="0" w:name="_Toc177025238"/>
      <w:r w:rsidRPr="00DB0B82">
        <w:t xml:space="preserve">Indicator </w:t>
      </w:r>
      <w:r w:rsidRPr="006E06EC">
        <w:t>4.</w:t>
      </w:r>
      <w:r w:rsidR="008C11BE">
        <w:t>C</w:t>
      </w:r>
      <w:r w:rsidRPr="006E06EC">
        <w:t xml:space="preserve">: </w:t>
      </w:r>
      <w:bookmarkEnd w:id="0"/>
      <w:r w:rsidR="00F80650">
        <w:t>Enrichment</w:t>
      </w:r>
      <w:r w:rsidR="008C11BE">
        <w:t xml:space="preserve"> (</w:t>
      </w:r>
      <w:r w:rsidR="00F80650">
        <w:t>Elementary</w:t>
      </w:r>
      <w:r w:rsidR="008C11BE">
        <w:t>)</w:t>
      </w:r>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3"/>
                    <a:stretch>
                      <a:fillRect/>
                    </a:stretch>
                  </pic:blipFill>
                  <pic:spPr bwMode="auto">
                    <a:xfrm>
                      <a:off x="0" y="0"/>
                      <a:ext cx="92710" cy="7747"/>
                    </a:xfrm>
                    <a:prstGeom prst="rect">
                      <a:avLst/>
                    </a:prstGeom>
                    <a:noFill/>
                  </pic:spPr>
                </pic:pic>
              </a:graphicData>
            </a:graphic>
          </wp:inline>
        </w:drawing>
      </w:r>
    </w:p>
    <w:p w14:paraId="68B7F06F" w14:textId="77777777" w:rsidR="007C6F22" w:rsidRPr="00AF7700" w:rsidRDefault="007C6F22" w:rsidP="007C6F22">
      <w:pPr>
        <w:pStyle w:val="BodyText"/>
      </w:pPr>
      <w:proofErr w:type="spellStart"/>
      <w:r>
        <w:t>Enrichment and advanced learning opportunities (e.g., advanced coursework; clubs; exploratory courses; elective offerings such as arts, music, physical activities, or world languages; and summer school) are available to most students through the school (i.e., during and outside the school day). The opportunities meet two of the following criteria. The opportunities are: (a) informed by student interest or choice; (b) expose students to new skills and interests that enhance classroom experiences; and (c) monitored at least twice throughout the year for quality and to ensure all students are proportionately represented in these opportunities.</w:t>
      </w:r>
      <w:proofErr w:type="spellEnd"/>
    </w:p>
    <w:p w14:paraId="210F3D65" w14:textId="6AAD2102" w:rsidR="006E06EC" w:rsidRDefault="006E06EC" w:rsidP="006E06EC">
      <w:pPr>
        <w:pStyle w:val="Heading4"/>
      </w:pPr>
      <w:r w:rsidRPr="004B1B6B">
        <w:t>OVERALL RATING SUMMARY:</w:t>
      </w:r>
      <w:r>
        <w:t xml:space="preserve"> </w:t>
      </w:r>
    </w:p>
    <w:p w14:paraId="539C1CA4" w14:textId="38B743BE" w:rsidR="007C6F22" w:rsidRDefault="007C6F22" w:rsidP="007C6F22">
      <w:pPr>
        <w:pStyle w:val="BodyText"/>
      </w:pPr>
      <w:proofErr w:type="spellStart"/>
      <w:r>
        <w:t>Consistent with an established rating for this indicator, school leaders and staff offer enrichment and advanced learning opportunities to most students through a 21st Century After-School program, and a partnership with the Komatsu organization. The opportunities that are available do offer some student choice and expose students to new interests.  However, these options are not monitored regularly for quality and access.</w:t>
      </w:r>
      <w:proofErr w:type="spellEnd"/>
    </w:p>
    <w:p w14:paraId="50A8A720" w14:textId="77777777" w:rsidR="006E06EC" w:rsidRDefault="006E06EC" w:rsidP="006E06EC">
      <w:pPr>
        <w:pStyle w:val="Heading4"/>
      </w:pPr>
      <w:r w:rsidRPr="00BC0038">
        <w:t>STAFF SURVEY RESPONSE:</w:t>
      </w:r>
    </w:p>
    <w:p>
      <w:pPr>
        <w:pStyle w:val="Normal"/>
      </w:pPr>
      <w:r>
        <w:rPr/>
        <w:drawing>
          <wp:inline distT="0" distB="0" distL="0" distR="0">
            <wp:extent cx="6400800" cy="2340864"/>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4"/>
                    <a:stretch>
                      <a:fillRect/>
                    </a:stretch>
                  </pic:blipFill>
                  <pic:spPr bwMode="auto">
                    <a:xfrm>
                      <a:off x="0" y="0"/>
                      <a:ext cx="88900" cy="32512"/>
                    </a:xfrm>
                    <a:prstGeom prst="rect">
                      <a:avLst/>
                    </a:prstGeom>
                    <a:noFill/>
                  </pic:spPr>
                </pic:pic>
              </a:graphicData>
            </a:graphic>
          </wp:inline>
        </w:drawing>
      </w:r>
    </w:p>
    <w:p>
      <w:pPr>
        <w:pStyle w:val="Normal"/>
      </w:pPr>
      <w:r>
        <w:rPr/>
        <w:drawing>
          <wp:inline distT="0" distB="0" distL="0" distR="0">
            <wp:extent cx="6400800" cy="2340864"/>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5"/>
                    <a:stretch>
                      <a:fillRect/>
                    </a:stretch>
                  </pic:blipFill>
                  <pic:spPr bwMode="auto">
                    <a:xfrm>
                      <a:off x="0" y="0"/>
                      <a:ext cx="88900" cy="32512"/>
                    </a:xfrm>
                    <a:prstGeom prst="rect">
                      <a:avLst/>
                    </a:prstGeom>
                    <a:noFill/>
                  </pic:spPr>
                </pic:pic>
              </a:graphicData>
            </a:graphic>
          </wp:inline>
        </w:drawing>
      </w:r>
    </w:p>
    <w:p w14:paraId="57908463" w14:textId="5E33B64F" w:rsidR="00DE3C93" w:rsidRDefault="00DE3C93">
      <w:pPr>
        <w:rPr>
          <w:rFonts w:eastAsia="Calibri" w:cs="Times New Roman"/>
          <w:color w:val="000000" w:themeColor="text1"/>
          <w:sz w:val="20"/>
        </w:rPr>
      </w:pPr>
      <w:r>
        <w:br w:type="page"/>
      </w:r>
    </w:p>
    <w:p w14:paraId="00E5E792" w14:textId="158B2285" w:rsidR="00DE3C93" w:rsidRPr="004A6688" w:rsidRDefault="004A6688" w:rsidP="00D23987">
      <w:pPr>
        <w:pStyle w:val="Heading3NONTOC"/>
        <w:rPr>
          <w:rFonts w:eastAsiaTheme="majorEastAsia"/>
          <w:sz w:val="26"/>
        </w:rPr>
      </w:pPr>
      <w:r w:rsidRPr="00DB0B82">
        <w:lastRenderedPageBreak/>
        <w:t xml:space="preserve">Indicator </w:t>
      </w:r>
      <w:r w:rsidRPr="006E06EC">
        <w:t>4.</w:t>
      </w:r>
      <w:r>
        <w:t>C</w:t>
      </w:r>
      <w:r w:rsidRPr="006E06EC">
        <w:t xml:space="preserve">: </w:t>
      </w:r>
      <w:r>
        <w:t>ENRICHMENT (ELEMENTARY) (CONT.)</w:t>
      </w:r>
    </w:p>
    <w:p w14:paraId="004E5050" w14:textId="77777777" w:rsidR="006E06EC" w:rsidRPr="001A7617" w:rsidRDefault="006E06EC" w:rsidP="006E06EC">
      <w:pPr>
        <w:pStyle w:val="Heading4"/>
      </w:pPr>
      <w:r>
        <w:t>S</w:t>
      </w:r>
      <w:r w:rsidRPr="001A7617">
        <w:t>TAFF PERSPECTIVES:</w:t>
      </w:r>
      <w:r>
        <w:t xml:space="preserve"> </w:t>
      </w:r>
    </w:p>
    <w:p>
      <w:pPr>
        <w:pStyle w:val="Bullet1"/>
      </w:pPr>
      <w:r>
        <w:t xml:space="preserve">Enrichment learning opportunities are available to most students through the 21st Century After-School Program, which provides a variety of after-school programming (e.g., art, choir, orchestra, band, athletics and a Chess Club and Ukulele Club). The Komatsu organization partners with the school to support youth and families and runs an after-school Lego Robotics Club.</w:t>
      </w:r>
    </w:p>
    <w:p>
      <w:pPr>
        <w:pStyle w:val="Bullet1"/>
      </w:pPr>
      <w:r>
        <w:t xml:space="preserve">Although the majority of staff survey participants (72%) agreed or strongly agreed that students can choose their enrichment opportunities, school leaders mostly disagreed that students have choice regarding enrichment activities. For example, school leaders noted that teachers decide which students are eligible to participate in the Lego Robotics Club.</w:t>
      </w:r>
    </w:p>
    <w:p>
      <w:pPr>
        <w:pStyle w:val="Bullet1"/>
      </w:pPr>
      <w:r>
        <w:t xml:space="preserve">Evidence of Student Learning (EJC): Although approximately two-thirds of staff survey respondents (68%) agreed or strongly agreed that the school's enrichment opportunities include advanced coursework, school leaders reported that at the time of the visit, students only had opportunities to level up in math, and only a few middle school students were currently working at a higher grade level. Additionally, 19% of staff survey respondents disagreed or strongly disagreed that advanced learning opportunities are monitored for access.</w:t>
      </w:r>
    </w:p>
    <w:p w14:paraId="5279B5B6" w14:textId="77777777" w:rsidR="00FD34F9" w:rsidRDefault="00FD34F9" w:rsidP="00FD34F9">
      <w:pPr>
        <w:pStyle w:val="BodyTextPostHeading"/>
      </w:pPr>
      <w:proofErr w:type="spellStart"/>
      <w:r>
        <w:t/>
      </w:r>
      <w:proofErr w:type="spellEnd"/>
    </w:p>
    <w:p w14:paraId="21D55218" w14:textId="77777777" w:rsidR="00FD34F9" w:rsidRPr="00AF7700" w:rsidRDefault="00FD34F9" w:rsidP="00FD34F9">
      <w:pPr>
        <w:pStyle w:val="BodyText"/>
      </w:pPr>
      <w:proofErr w:type="spellStart"/>
      <w:r>
        <w:t/>
      </w:r>
      <w:proofErr w:type="spellEnd"/>
    </w:p>
    <w:p w14:paraId="0B709B63" w14:textId="66ECDEDC" w:rsidR="00AF1DE4" w:rsidRPr="00AF7700" w:rsidRDefault="00AF1DE4" w:rsidP="007C6F22">
      <w:pPr>
        <w:pStyle w:val="BodyText"/>
      </w:pPr>
    </w:p>
    <w:sectPr w:rsidR="00AF1DE4" w:rsidRPr="00AF7700" w:rsidSect="005B30D8">
      <w:headerReference w:type="default" r:id="rId8"/>
      <w:footerReference w:type="default" r:id="rId9"/>
      <w:footerReference w:type="first" r:id="rId10"/>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06EFB" w14:textId="77777777" w:rsidR="00B82F29" w:rsidRDefault="00B82F29" w:rsidP="00005082">
      <w:pPr>
        <w:spacing w:line="240" w:lineRule="auto"/>
      </w:pPr>
      <w:r>
        <w:separator/>
      </w:r>
    </w:p>
    <w:p w14:paraId="261E6C20" w14:textId="77777777" w:rsidR="00B82F29" w:rsidRDefault="00B82F29"/>
    <w:p w14:paraId="7826D266" w14:textId="77777777" w:rsidR="00B82F29" w:rsidRDefault="00B82F29"/>
    <w:p w14:paraId="04629DE7" w14:textId="77777777" w:rsidR="00B82F29" w:rsidRDefault="00B82F29"/>
  </w:endnote>
  <w:endnote w:type="continuationSeparator" w:id="0">
    <w:p w14:paraId="6141820A" w14:textId="77777777" w:rsidR="00B82F29" w:rsidRDefault="00B82F29" w:rsidP="00005082">
      <w:pPr>
        <w:spacing w:line="240" w:lineRule="auto"/>
      </w:pPr>
      <w:r>
        <w:continuationSeparator/>
      </w:r>
    </w:p>
    <w:p w14:paraId="29269293" w14:textId="77777777" w:rsidR="00B82F29" w:rsidRDefault="00B82F29"/>
    <w:p w14:paraId="47D1DC2E" w14:textId="77777777" w:rsidR="00B82F29" w:rsidRDefault="00B82F29"/>
    <w:p w14:paraId="58F8B530" w14:textId="77777777" w:rsidR="00B82F29" w:rsidRDefault="00B82F29"/>
  </w:endnote>
  <w:endnote w:type="continuationNotice" w:id="1">
    <w:p w14:paraId="723E4B0D" w14:textId="77777777" w:rsidR="00B82F29" w:rsidRDefault="00B82F29">
      <w:pPr>
        <w:spacing w:line="240" w:lineRule="auto"/>
      </w:pPr>
    </w:p>
    <w:p w14:paraId="5AD23525" w14:textId="77777777" w:rsidR="00B82F29" w:rsidRDefault="00B82F29" w:rsidP="00001D2C"/>
    <w:p w14:paraId="4D4DBD5C" w14:textId="77777777" w:rsidR="00B82F29" w:rsidRDefault="00B82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A10CF" w14:textId="6B70F9EB" w:rsidR="00BD49F3" w:rsidRDefault="00BD49F3" w:rsidP="00454225">
    <w:pPr>
      <w:pStyle w:val="FooterDocTitle"/>
      <w:tabs>
        <w:tab w:val="clear" w:pos="10656"/>
        <w:tab w:val="clear" w:pos="10800"/>
        <w:tab w:val="right" w:pos="9900"/>
        <w:tab w:val="right" w:pos="11160"/>
      </w:tabs>
      <w:ind w:left="-720" w:right="-720"/>
      <w:jc w:val="center"/>
    </w:pPr>
    <w:r w:rsidRPr="00CC46EA">
      <w:t>Illinois Needs Assessment 202</w:t>
    </w:r>
    <w:r w:rsidR="00F82EB6">
      <w:t>5</w:t>
    </w:r>
    <w:r w:rsidRPr="00CC46EA">
      <w:t xml:space="preserve">: </w:t>
    </w:r>
    <w:proofErr w:type="spellStart"/>
    <w:r w:rsidR="007D0E13">
      <w:t>Sample School</w:t>
    </w:r>
    <w:proofErr w:type="spellEnd"/>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F03D8" w14:textId="1F9F9A20" w:rsidR="00BD49F3" w:rsidRDefault="00BD49F3" w:rsidP="00BD49F3">
    <w:pPr>
      <w:pStyle w:val="FooterDocTitle"/>
      <w:tabs>
        <w:tab w:val="clear" w:pos="10656"/>
        <w:tab w:val="clear" w:pos="10800"/>
        <w:tab w:val="right" w:pos="9900"/>
        <w:tab w:val="right" w:pos="11160"/>
      </w:tabs>
      <w:ind w:left="-720" w:right="-720"/>
    </w:pPr>
    <w:r w:rsidRPr="00CC46EA">
      <w:t xml:space="preserve">Illinois Needs Assessment 2024: </w:t>
    </w:r>
    <w:proofErr w:type="spellStart"/>
    <w:r>
      <w:t>Sample School</w:t>
    </w:r>
    <w:proofErr w:type="spellEnd"/>
    <w:r>
      <w:tab/>
    </w:r>
    <w:r w:rsidRPr="00CC46EA">
      <w:fldChar w:fldCharType="begin"/>
    </w:r>
    <w:r w:rsidRPr="00CC46EA">
      <w:instrText xml:space="preserve"> PAGE   \* MERGEFORMAT </w:instrText>
    </w:r>
    <w:r w:rsidRPr="00CC46EA">
      <w:fldChar w:fldCharType="separate"/>
    </w:r>
    <w:r>
      <w:t>1</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2A7FC" w14:textId="77777777" w:rsidR="00B82F29" w:rsidRDefault="00B82F29" w:rsidP="007D4B67">
      <w:pPr>
        <w:pStyle w:val="NoSpacing"/>
      </w:pPr>
      <w:r>
        <w:separator/>
      </w:r>
    </w:p>
  </w:footnote>
  <w:footnote w:type="continuationSeparator" w:id="0">
    <w:p w14:paraId="5B88130E" w14:textId="77777777" w:rsidR="00B82F29" w:rsidRDefault="00B82F29" w:rsidP="007D4B67">
      <w:pPr>
        <w:pStyle w:val="NoSpacing"/>
      </w:pPr>
      <w:r>
        <w:continuationSeparator/>
      </w:r>
    </w:p>
  </w:footnote>
  <w:footnote w:type="continuationNotice" w:id="1">
    <w:p w14:paraId="29D53A59" w14:textId="77777777" w:rsidR="00B82F29" w:rsidRPr="0012014B" w:rsidRDefault="00B82F29"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47ADB733" w:rsidR="00AB27AB" w:rsidRPr="00CC46EA" w:rsidRDefault="00AB27AB" w:rsidP="00AB27AB">
    <w:pPr>
      <w:pStyle w:val="Header"/>
    </w:pPr>
    <w:r w:rsidRPr="00CC46EA">
      <w:rPr>
        <w:noProof/>
      </w:rPr>
      <w:drawing>
        <wp:anchor distT="0" distB="0" distL="114300" distR="114300" simplePos="0" relativeHeight="251671552" behindDoc="0" locked="0" layoutInCell="1" allowOverlap="1" wp14:anchorId="02997BE3" wp14:editId="69715F4B">
          <wp:simplePos x="0" y="0"/>
          <wp:positionH relativeFrom="margin">
            <wp:align>right</wp:align>
          </wp:positionH>
          <wp:positionV relativeFrom="paragraph">
            <wp:posOffset>0</wp:posOffset>
          </wp:positionV>
          <wp:extent cx="594360" cy="594360"/>
          <wp:effectExtent l="0" t="0" r="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pic:nvPicPr>
                <pic:blipFill>
                  <a:blip r:embed="rId1"/>
                  <a:srcRect/>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Pr="00CC46EA">
      <w:rPr>
        <w:noProof/>
      </w:rPr>
      <mc:AlternateContent>
        <mc:Choice Requires="wps">
          <w:drawing>
            <wp:anchor distT="0" distB="0" distL="114300" distR="114300" simplePos="0" relativeHeight="251670528" behindDoc="1" locked="0" layoutInCell="1" allowOverlap="1" wp14:anchorId="0948015E" wp14:editId="669DB416">
              <wp:simplePos x="0" y="0"/>
              <wp:positionH relativeFrom="margin">
                <wp:align>center</wp:align>
              </wp:positionH>
              <wp:positionV relativeFrom="paragraph">
                <wp:posOffset>-438150</wp:posOffset>
              </wp:positionV>
              <wp:extent cx="7772400" cy="731520"/>
              <wp:effectExtent l="0" t="0" r="0" b="0"/>
              <wp:wrapNone/>
              <wp:docPr id="9"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CD1B1"/>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03BED414"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" fillcolor="#fcd1b1" stroked="f">
              <v:textbox style="mso-fit-shape-to-text:t" inset="3.6pt,,3.6pt"/>
              <w10:wrap anchorx="margin"/>
            </v:rect>
          </w:pict>
        </mc:Fallback>
      </mc:AlternateContent>
    </w:r>
    <w:r>
      <w:t>Targeted Instruction and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NTOC">
    <w:name w:val="Heading 3 (NONTOC)"/>
    <w:basedOn w:val="Heading3"/>
    <w:qFormat/>
    <w:rsid w:val="00D23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 Id="rId13" Type="http://schemas.openxmlformats.org/officeDocument/2006/relationships/image" Target="media/fc167e6b9c07204ae15f399a572eee9cf9b89c56.png"/>
<Relationship Id="rId14" Type="http://schemas.openxmlformats.org/officeDocument/2006/relationships/image" Target="media/9a96bfabe2ffcc202a919b34816b7a345aa020ea.png"/>
<Relationship Id="rId15" Type="http://schemas.openxmlformats.org/officeDocument/2006/relationships/image" Target="media/a2a82d4b13d9fa0489e9ef44725cb8232995f891.png"/>
</Relationships>

</file>

<file path=word/_rels/header1.xml.rels><?xml version="1.0" encoding="UTF-8" standalone="yes"?>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2548</TotalTime>
  <Pages>2</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63</cp:revision>
  <cp:lastPrinted>2019-10-04T21:04:00Z</cp:lastPrinted>
  <dcterms:created xsi:type="dcterms:W3CDTF">2024-09-09T03:28:00Z</dcterms:created>
  <dcterms:modified xsi:type="dcterms:W3CDTF">2025-07-18T18:12:03Z</dcterms:modified>
  <cp:contentStatus/>
</cp:coreProperties>
</file>