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98020" w14:textId="69B2855E" w:rsidR="00E9277B" w:rsidRPr="00E9277B" w:rsidRDefault="00C1352D" w:rsidP="001A5EE4">
      <w:pPr>
        <w:pStyle w:val="Heading3"/>
      </w:pPr>
      <w:bookmarkStart w:id="0" w:name="_Toc177025238"/>
      <w:r w:rsidRPr="00DB0B82">
        <w:t xml:space="preserve">Indicator </w:t>
      </w:r>
      <w:r w:rsidRPr="006E06EC">
        <w:t>4</w:t>
      </w:r>
      <w:bookmarkEnd w:id="0"/>
      <w:r w:rsidR="00A01178" w:rsidRPr="006E06EC">
        <w:t xml:space="preserve">.D: College </w:t>
      </w:r>
      <w:r w:rsidR="00A01178">
        <w:t>a</w:t>
      </w:r>
      <w:r w:rsidR="00A01178" w:rsidRPr="006E06EC">
        <w:t>nd Career Readiness Opportunities</w:t>
      </w:r>
      <w:r w:rsidR="00946D57">
        <w:t xml:space="preserve"> (Secondary)</w:t>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92710" cy="7747"/>
                    </a:xfrm>
                    <a:prstGeom prst="rect">
                      <a:avLst/>
                    </a:prstGeom>
                    <a:noFill/>
                  </pic:spPr>
                </pic:pic>
              </a:graphicData>
            </a:graphic>
          </wp:inline>
        </w:drawing>
      </w:r>
    </w:p>
    <w:p w14:paraId="275EA1FC" w14:textId="77777777" w:rsidR="000C1BAB" w:rsidRPr="00AF7700" w:rsidRDefault="000C1BAB" w:rsidP="000C1BAB">
      <w:pPr>
        <w:pStyle w:val="BodyText"/>
      </w:pPr>
      <w:r>
        <w:t>School leadership has developed a plan for college and career advising and specific activities that occur each school year, but the activities may or may not be aligned from year to year. Most students have access to college and career readiness opportunities (e.g., advanced coursework, such as AP or IB; dual enrollment or early college; work-based learning or CTE) and in at least two settings (e.g., on or off campus; in person and virtual; during the school day, after school, and in the summer), but some barriers to access still exist. There is some effort to individualize college and career planning supports based on students’ needs and interests, but these efforts are inconsistent (e.g., incomplete plans). Parents can seek out postsecondary and career planning conversations with school staff, but these conversations may not be proactively offered.</w:t>
      </w:r>
    </w:p>
    <w:p w14:paraId="210F3D65" w14:textId="6AAD2102" w:rsidR="006E06EC" w:rsidRDefault="006E06EC" w:rsidP="006E06EC">
      <w:pPr>
        <w:pStyle w:val="Heading4"/>
      </w:pPr>
      <w:r w:rsidRPr="004B1B6B">
        <w:t>OVERALL RATING SUMMARY:</w:t>
      </w:r>
      <w:r>
        <w:t xml:space="preserve"> </w:t>
      </w:r>
    </w:p>
    <w:p w14:paraId="0FF0DDD9" w14:textId="6258CF30" w:rsidR="000C1BAB" w:rsidRDefault="000C1BAB" w:rsidP="000C1BAB">
      <w:pPr>
        <w:pStyle w:val="BodyText"/>
      </w:pPr>
      <w:r>
        <w:t>Consistent with an established rating for this indicator, school leadership and staff have annual plans and activities for supporting college and career readiness for older students, but these are not always individualized. AVID, a program that schools adopt to help close the achievement gap by preparing students for college and career readiness, is a key resource available for students in the 6th, 7th and 8th grades.</w:t>
      </w:r>
    </w:p>
    <w:p w14:paraId="29E73DE8" w14:textId="273EC194" w:rsidR="00850A54" w:rsidRDefault="00850A54">
      <w:pPr>
        <w:rPr>
          <w:rFonts w:eastAsia="Calibri" w:cs="Times New Roman"/>
          <w:color w:val="000000" w:themeColor="text1"/>
          <w:sz w:val="20"/>
        </w:rPr>
      </w:pPr>
      <w:r>
        <w:br w:type="page"/>
      </w:r>
    </w:p>
    <w:p w14:paraId="2D950B81" w14:textId="2BBB0383" w:rsidR="00850A54" w:rsidRPr="00416026" w:rsidRDefault="00416026" w:rsidP="00A3490F">
      <w:pPr>
        <w:pStyle w:val="Heading3NONTOC"/>
        <w:rPr>
          <w:rFonts w:eastAsiaTheme="majorEastAsia"/>
          <w:sz w:val="26"/>
        </w:rPr>
      </w:pPr>
      <w:r w:rsidRPr="00DB0B82">
        <w:lastRenderedPageBreak/>
        <w:t xml:space="preserve">Indicator </w:t>
      </w:r>
      <w:r w:rsidRPr="006E06EC">
        <w:t xml:space="preserve">4.D: College </w:t>
      </w:r>
      <w:r>
        <w:t>a</w:t>
      </w:r>
      <w:r w:rsidRPr="006E06EC">
        <w:t>nd Career Readiness Opportunities</w:t>
      </w:r>
      <w:r>
        <w:t xml:space="preserve"> </w:t>
      </w:r>
      <w:r w:rsidR="00E96E24">
        <w:t xml:space="preserve">(Secondary) </w:t>
      </w:r>
      <w:r>
        <w:t>(CONT.)</w:t>
      </w:r>
    </w:p>
    <w:p w14:paraId="50A8A720" w14:textId="77777777" w:rsidR="006E06EC" w:rsidRDefault="006E06EC" w:rsidP="006E06EC">
      <w:pPr>
        <w:pStyle w:val="Heading4"/>
      </w:pPr>
      <w:r w:rsidRPr="00BC0038">
        <w:t>STAFF SURVEY RESPONSE:</w:t>
      </w:r>
    </w:p>
    <w:p>
      <w:pPr>
        <w:pStyle w:val="Normal"/>
      </w:pPr>
      <w:r>
        <w:rPr/>
        <w:drawing>
          <wp:inline distT="0" distB="0" distL="0" distR="0">
            <wp:extent cx="6400800" cy="2761488"/>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7"/>
                    <a:stretch>
                      <a:fillRect/>
                    </a:stretch>
                  </pic:blipFill>
                  <pic:spPr bwMode="auto">
                    <a:xfrm>
                      <a:off x="0" y="0"/>
                      <a:ext cx="88900" cy="38354"/>
                    </a:xfrm>
                    <a:prstGeom prst="rect">
                      <a:avLst/>
                    </a:prstGeom>
                    <a:noFill/>
                  </pic:spPr>
                </pic:pic>
              </a:graphicData>
            </a:graphic>
          </wp:inline>
        </w:drawing>
      </w:r>
    </w:p>
    <w:p w14:paraId="004E5050" w14:textId="77777777" w:rsidR="006E06EC" w:rsidRPr="001A7617" w:rsidRDefault="006E06EC" w:rsidP="006E06EC">
      <w:pPr>
        <w:pStyle w:val="Heading4"/>
      </w:pPr>
      <w:r>
        <w:t>S</w:t>
      </w:r>
      <w:r w:rsidRPr="001A7617">
        <w:t>TAFF PERSPECTIVES:</w:t>
      </w:r>
      <w:r>
        <w:t xml:space="preserve"> </w:t>
      </w:r>
    </w:p>
    <w:p>
      <w:pPr>
        <w:pStyle w:val="Bullet1"/>
      </w:pPr>
      <w:r>
        <w:t xml:space="preserve">Most of staff survey respondents (72%) agreed or strongly agreed that at their school opportunities are available for work-based learning or career education. In addition, school leader survey participants agreed that students can explore work or career interests virtually or off campus.</w:t>
      </w:r>
    </w:p>
    <w:p>
      <w:pPr>
        <w:pStyle w:val="Bullet1"/>
      </w:pPr>
      <w:r>
        <w:t xml:space="preserve">School leaders reported that students have several leadership opportunities, including student council (6th, 7th and 8th graders) and a 4th grade ambassador program. In addition, school leaders reported that the school partners with the Elite Community Outreach program, enabling students to join Jr. Elite and participate in supporting the community.</w:t>
      </w:r>
    </w:p>
    <w:p>
      <w:pPr>
        <w:pStyle w:val="Bullet1"/>
      </w:pPr>
      <w:r>
        <w:t xml:space="preserve">Evidence of Student Learning (EJC): While the school offers college and career planning supports, these opportunities may not consistently be monitored for equity of access. School leaders shared divergent perspectives regarding monitoring activities, and 20% of staff survey respondents disagreed or strongly disagreed that advanced coursework opportunities are reviewed to ensure equity of access.</w:t>
      </w:r>
    </w:p>
    <w:p w14:paraId="615DDF9B" w14:textId="77777777" w:rsidR="00E4356E" w:rsidRDefault="00E4356E" w:rsidP="00E4356E">
      <w:pPr>
        <w:pStyle w:val="BodyTextPostHeading"/>
      </w:pPr>
      <w:r>
        <w:t/>
      </w:r>
    </w:p>
    <w:p w14:paraId="2945B7F1" w14:textId="77777777" w:rsidR="00E4356E" w:rsidRPr="00AF7700" w:rsidRDefault="00E4356E" w:rsidP="00E4356E">
      <w:pPr>
        <w:pStyle w:val="BodyText"/>
      </w:pPr>
      <w:r>
        <w:t/>
      </w:r>
    </w:p>
    <w:p w14:paraId="0B709B63" w14:textId="2A215CA5" w:rsidR="00AF1DE4" w:rsidRPr="00AF7700" w:rsidRDefault="00AF1DE4" w:rsidP="000C1BAB">
      <w:pPr>
        <w:pStyle w:val="BodyText"/>
      </w:pPr>
    </w:p>
    <w:sectPr w:rsidR="00AF1DE4" w:rsidRPr="00AF7700" w:rsidSect="00680E4E">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3C22B" w14:textId="77777777" w:rsidR="00B3183A" w:rsidRDefault="00B3183A" w:rsidP="00005082">
      <w:pPr>
        <w:spacing w:line="240" w:lineRule="auto"/>
      </w:pPr>
      <w:r>
        <w:separator/>
      </w:r>
    </w:p>
    <w:p w14:paraId="54FCAF5B" w14:textId="77777777" w:rsidR="00B3183A" w:rsidRDefault="00B3183A"/>
    <w:p w14:paraId="7CE017B0" w14:textId="77777777" w:rsidR="00B3183A" w:rsidRDefault="00B3183A"/>
    <w:p w14:paraId="3BF9AEC7" w14:textId="77777777" w:rsidR="00B3183A" w:rsidRDefault="00B3183A"/>
  </w:endnote>
  <w:endnote w:type="continuationSeparator" w:id="0">
    <w:p w14:paraId="0C918FED" w14:textId="77777777" w:rsidR="00B3183A" w:rsidRDefault="00B3183A" w:rsidP="00005082">
      <w:pPr>
        <w:spacing w:line="240" w:lineRule="auto"/>
      </w:pPr>
      <w:r>
        <w:continuationSeparator/>
      </w:r>
    </w:p>
    <w:p w14:paraId="474B25C7" w14:textId="77777777" w:rsidR="00B3183A" w:rsidRDefault="00B3183A"/>
    <w:p w14:paraId="28F5235A" w14:textId="77777777" w:rsidR="00B3183A" w:rsidRDefault="00B3183A"/>
    <w:p w14:paraId="5F5A084A" w14:textId="77777777" w:rsidR="00B3183A" w:rsidRDefault="00B3183A"/>
  </w:endnote>
  <w:endnote w:type="continuationNotice" w:id="1">
    <w:p w14:paraId="4E7D5E18" w14:textId="77777777" w:rsidR="00B3183A" w:rsidRDefault="00B3183A">
      <w:pPr>
        <w:spacing w:line="240" w:lineRule="auto"/>
      </w:pPr>
    </w:p>
    <w:p w14:paraId="3A8F9915" w14:textId="77777777" w:rsidR="00B3183A" w:rsidRDefault="00B3183A" w:rsidP="00001D2C"/>
    <w:p w14:paraId="31F096B8" w14:textId="77777777" w:rsidR="00B3183A" w:rsidRDefault="00B318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C3242" w14:textId="77777777" w:rsidR="00680E4E" w:rsidRDefault="00680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10CF" w14:textId="55A2BCA9" w:rsidR="00BD49F3" w:rsidRDefault="00BD49F3" w:rsidP="00E33F27">
    <w:pPr>
      <w:pStyle w:val="FooterDocTitle"/>
      <w:tabs>
        <w:tab w:val="clear" w:pos="10656"/>
        <w:tab w:val="clear" w:pos="10800"/>
        <w:tab w:val="right" w:pos="9900"/>
        <w:tab w:val="right" w:pos="11160"/>
      </w:tabs>
      <w:ind w:left="-720" w:right="-720"/>
      <w:jc w:val="center"/>
    </w:pPr>
    <w:r w:rsidRPr="00CC46EA">
      <w:t>Illinois Needs Assessment 202</w:t>
    </w:r>
    <w:r w:rsidR="00D02535">
      <w:t>5</w:t>
    </w:r>
    <w:r w:rsidRPr="00CC46EA">
      <w:t xml:space="preserve">: </w:t>
    </w:r>
    <w:r w:rsidR="007808F4">
      <w:t>Sample School</w:t>
    </w:r>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F03D8" w14:textId="093E43F2" w:rsidR="00BD49F3" w:rsidRDefault="00680E4E" w:rsidP="00BD49F3">
    <w:pPr>
      <w:pStyle w:val="FooterDocTitle"/>
      <w:tabs>
        <w:tab w:val="clear" w:pos="10656"/>
        <w:tab w:val="clear" w:pos="10800"/>
        <w:tab w:val="right" w:pos="9900"/>
        <w:tab w:val="right" w:pos="11160"/>
      </w:tabs>
      <w:ind w:left="-720" w:right="-720"/>
    </w:pPr>
    <w:r>
      <w:ptab w:relativeTo="margin" w:alignment="left" w:leader="none"/>
    </w:r>
    <w:r w:rsidR="00BD49F3" w:rsidRPr="00CC46EA">
      <w:t>Illinois Needs Assessment 202</w:t>
    </w:r>
    <w:r>
      <w:t>5</w:t>
    </w:r>
    <w:r w:rsidR="00BD49F3" w:rsidRPr="00CC46EA">
      <w:t xml:space="preserve">: </w:t>
    </w:r>
    <w:r w:rsidR="00BD49F3">
      <w:t>Sample School</w:t>
    </w:r>
    <w:r w:rsidR="00BD49F3">
      <w:tab/>
    </w:r>
    <w:r w:rsidR="00BD49F3" w:rsidRPr="00CC46EA">
      <w:fldChar w:fldCharType="begin"/>
    </w:r>
    <w:r w:rsidR="00BD49F3" w:rsidRPr="00CC46EA">
      <w:instrText xml:space="preserve"> PAGE   \* MERGEFORMAT </w:instrText>
    </w:r>
    <w:r w:rsidR="00BD49F3" w:rsidRPr="00CC46EA">
      <w:fldChar w:fldCharType="separate"/>
    </w:r>
    <w:r w:rsidR="00BD49F3">
      <w:t>1</w:t>
    </w:r>
    <w:r w:rsidR="00BD49F3"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ED97B" w14:textId="77777777" w:rsidR="00B3183A" w:rsidRDefault="00B3183A" w:rsidP="007D4B67">
      <w:pPr>
        <w:pStyle w:val="NoSpacing"/>
      </w:pPr>
      <w:r>
        <w:separator/>
      </w:r>
    </w:p>
  </w:footnote>
  <w:footnote w:type="continuationSeparator" w:id="0">
    <w:p w14:paraId="600E5B86" w14:textId="77777777" w:rsidR="00B3183A" w:rsidRDefault="00B3183A" w:rsidP="007D4B67">
      <w:pPr>
        <w:pStyle w:val="NoSpacing"/>
      </w:pPr>
      <w:r>
        <w:continuationSeparator/>
      </w:r>
    </w:p>
  </w:footnote>
  <w:footnote w:type="continuationNotice" w:id="1">
    <w:p w14:paraId="445DF7CA" w14:textId="77777777" w:rsidR="00B3183A" w:rsidRPr="0012014B" w:rsidRDefault="00B3183A"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D7ED4" w14:textId="77777777" w:rsidR="00680E4E" w:rsidRDefault="00680E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3CA1EE5F" w:rsidR="00AB27AB" w:rsidRPr="00CC46EA" w:rsidRDefault="00AB27AB" w:rsidP="00680E4E">
    <w:pPr>
      <w:pStyle w:val="Header"/>
      <w:tabs>
        <w:tab w:val="clear" w:pos="9360"/>
        <w:tab w:val="left" w:pos="5705"/>
      </w:tabs>
    </w:pPr>
    <w:r w:rsidRPr="00CC46EA">
      <w:rPr>
        <w:noProof/>
      </w:rPr>
      <w:drawing>
        <wp:anchor distT="0" distB="0" distL="114300" distR="114300" simplePos="0" relativeHeight="251671552" behindDoc="0" locked="0" layoutInCell="1" allowOverlap="1" wp14:anchorId="02997BE3" wp14:editId="69715F4B">
          <wp:simplePos x="0" y="0"/>
          <wp:positionH relativeFrom="margin">
            <wp:align>right</wp:align>
          </wp:positionH>
          <wp:positionV relativeFrom="paragraph">
            <wp:posOffset>0</wp:posOffset>
          </wp:positionV>
          <wp:extent cx="594360" cy="59436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1"/>
                  <a:srcRect/>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Pr="00CC46EA">
      <w:rPr>
        <w:noProof/>
      </w:rPr>
      <mc:AlternateContent>
        <mc:Choice Requires="wps">
          <w:drawing>
            <wp:anchor distT="0" distB="0" distL="114300" distR="114300" simplePos="0" relativeHeight="251670528" behindDoc="1" locked="0" layoutInCell="1" allowOverlap="1" wp14:anchorId="0948015E" wp14:editId="669DB416">
              <wp:simplePos x="0" y="0"/>
              <wp:positionH relativeFrom="margin">
                <wp:align>center</wp:align>
              </wp:positionH>
              <wp:positionV relativeFrom="paragraph">
                <wp:posOffset>-438150</wp:posOffset>
              </wp:positionV>
              <wp:extent cx="7772400" cy="731520"/>
              <wp:effectExtent l="0" t="0" r="0" b="0"/>
              <wp:wrapNone/>
              <wp:docPr id="7"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CD1B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03BED414"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" fillcolor="#fcd1b1" stroked="f">
              <v:textbox style="mso-fit-shape-to-text:t" inset="3.6pt,,3.6pt"/>
              <w10:wrap anchorx="margin"/>
            </v:rect>
          </w:pict>
        </mc:Fallback>
      </mc:AlternateContent>
    </w:r>
    <w:r>
      <w:t>Targeted Instruction and Support</w:t>
    </w:r>
    <w:r w:rsidR="00680E4E">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0D181" w14:textId="593136B2" w:rsidR="00680E4E" w:rsidRDefault="00680E4E" w:rsidP="00680E4E">
    <w:pPr>
      <w:pStyle w:val="Header"/>
      <w:tabs>
        <w:tab w:val="clear" w:pos="9360"/>
        <w:tab w:val="left" w:pos="5705"/>
      </w:tabs>
    </w:pPr>
    <w:r w:rsidRPr="00CC46EA">
      <w:rPr>
        <w:noProof/>
      </w:rPr>
      <w:drawing>
        <wp:anchor distT="0" distB="0" distL="114300" distR="114300" simplePos="0" relativeHeight="251674624" behindDoc="0" locked="0" layoutInCell="1" allowOverlap="1" wp14:anchorId="0C1D76A3" wp14:editId="2E3C4509">
          <wp:simplePos x="0" y="0"/>
          <wp:positionH relativeFrom="margin">
            <wp:align>right</wp:align>
          </wp:positionH>
          <wp:positionV relativeFrom="paragraph">
            <wp:posOffset>0</wp:posOffset>
          </wp:positionV>
          <wp:extent cx="594360" cy="594360"/>
          <wp:effectExtent l="0" t="0" r="0" b="0"/>
          <wp:wrapSquare wrapText="bothSides"/>
          <wp:docPr id="8" name="Picture 4" descr="A blue and orange circle with a person and a check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A blue and orange circle with a person and a check mark&#10;&#10;Description automatically generated"/>
                  <pic:cNvPicPr/>
                </pic:nvPicPr>
                <pic:blipFill>
                  <a:blip r:embed="rId1"/>
                  <a:srcRect/>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Pr="00CC46EA">
      <w:rPr>
        <w:noProof/>
      </w:rPr>
      <mc:AlternateContent>
        <mc:Choice Requires="wps">
          <w:drawing>
            <wp:anchor distT="0" distB="0" distL="114300" distR="114300" simplePos="0" relativeHeight="251673600" behindDoc="1" locked="0" layoutInCell="1" allowOverlap="1" wp14:anchorId="47787FEA" wp14:editId="74CFFE7C">
              <wp:simplePos x="0" y="0"/>
              <wp:positionH relativeFrom="margin">
                <wp:align>center</wp:align>
              </wp:positionH>
              <wp:positionV relativeFrom="paragraph">
                <wp:posOffset>-438150</wp:posOffset>
              </wp:positionV>
              <wp:extent cx="7772400" cy="731520"/>
              <wp:effectExtent l="0" t="0" r="0" b="0"/>
              <wp:wrapNone/>
              <wp:docPr id="10"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CD1B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20DD9EAD" id="Rectangle 2" o:spid="_x0000_s1026" style="position:absolute;margin-left:0;margin-top:-34.5pt;width:612pt;height:57.6pt;z-index:-251642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" fillcolor="#fcd1b1" stroked="f">
              <v:textbox style="mso-fit-shape-to-text:t" inset="3.6pt,,3.6pt"/>
              <w10:wrap anchorx="margin"/>
            </v:rect>
          </w:pict>
        </mc:Fallback>
      </mc:AlternateContent>
    </w:r>
    <w:r>
      <w:t>Targeted Instruction and Support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qFormat/>
    <w:rsid w:val="00A34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 Id="rId16" Type="http://schemas.openxmlformats.org/officeDocument/2006/relationships/image" Target="media/fc167e6b9c07204ae15f399a572eee9cf9b89c56.png"/>
<Relationship Id="rId17" Type="http://schemas.openxmlformats.org/officeDocument/2006/relationships/image" Target="media/f366265e7e63f5a7dae6290599ffd12a21862639.png"/>
</Relationships>

</file>

<file path=word/_rels/header2.xml.rels><?xml version="1.0" encoding="UTF-8" standalone="yes"?>

<Relationships  xmlns="http://schemas.openxmlformats.org/package/2006/relationships">
<Relationship Id="rId1" Type="http://schemas.openxmlformats.org/officeDocument/2006/relationships/image" Target="media/image1.png"/>
</Relationships>

</file>

<file path=word/_rels/header3.xml.rels><?xml version="1.0" encoding="UTF-8" standalone="yes"?>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2544</TotalTime>
  <Pages>2</Pages>
  <Words>45</Words>
  <Characters>257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65</cp:revision>
  <cp:lastPrinted>2019-10-04T21:04:00Z</cp:lastPrinted>
  <dcterms:created xsi:type="dcterms:W3CDTF">2024-09-09T03:28:00Z</dcterms:created>
  <dcterms:modified xsi:type="dcterms:W3CDTF">2025-07-18T18:12:03Z</dcterms:modified>
  <cp:contentStatus/>
</cp:coreProperties>
</file>