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31ftlr7vvt8o4eqyyz8c">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hbxfqt7usyxjn2ryj1prh">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3chhhsdx97usowbuk80x4">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fw3pnwe5p9v7jtcnwi2en">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kdpms12wicveiwawnpdzb">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 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jzs6zw33lrzkbj2gqzloc">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 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zyi4dceqhve24rcpx6twa">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7ww1i6ksc85qnawadnjl3">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hs8l_oodbejthiuooksup">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3"/>
        </w:numPr>
        <w:ind w:left="720" w:hanging="360"/>
      </w:pPr>
      <w:r>
        <w:t xml:space="preserve">Decide the names and calling syntax of the words the rest of the program will see — the interface.</w:t>
      </w:r>
    </w:p>
    <w:p>
      <w:pPr>
        <w:pStyle w:val="ListParagraph"/>
        <w:numPr>
          <w:ilvl w:val="0"/>
          <w:numId w:val="3"/>
        </w:numPr>
        <w:ind w:left="720" w:hanging="360"/>
      </w:pPr>
      <w:r>
        <w:t xml:space="preserve">Work out the algorithm(s) and data structure(s) behind that interface.</w:t>
      </w:r>
    </w:p>
    <w:p>
      <w:pPr>
        <w:pStyle w:val="ListParagraph"/>
        <w:numPr>
          <w:ilvl w:val="0"/>
          <w:numId w:val="3"/>
        </w:numPr>
        <w:ind w:left="720" w:hanging="360"/>
      </w:pPr>
      <w:r>
        <w:t xml:space="preserve">Notice the auxiliary words this will require, and check what's already available before writing new ones.</w:t>
      </w:r>
    </w:p>
    <w:p>
      <w:pPr>
        <w:pStyle w:val="ListParagraph"/>
        <w:numPr>
          <w:ilvl w:val="0"/>
          <w:numId w:val="3"/>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3"/>
        </w:numPr>
        <w:ind w:left="720" w:hanging="360"/>
      </w:pPr>
      <w:r>
        <w:rPr>
          <w:b/>
          <w:bCs/>
        </w:rPr>
        <w:t xml:space="preserve">Calculation</w:t>
      </w:r>
      <w:r>
        <w:t xml:space="preserve"> — a formula.</w:t>
      </w:r>
    </w:p>
    <w:p>
      <w:pPr>
        <w:pStyle w:val="ListParagraph"/>
        <w:numPr>
          <w:ilvl w:val="0"/>
          <w:numId w:val="3"/>
        </w:numPr>
        <w:ind w:left="720" w:hanging="360"/>
      </w:pPr>
      <w:r>
        <w:rPr>
          <w:b/>
          <w:bCs/>
        </w:rPr>
        <w:t xml:space="preserve">Data structure</w:t>
      </w:r>
      <w:r>
        <w:t xml:space="preserve"> — a table you look up.</w:t>
      </w:r>
    </w:p>
    <w:p>
      <w:pPr>
        <w:pStyle w:val="ListParagraph"/>
        <w:numPr>
          <w:ilvl w:val="0"/>
          <w:numId w:val="3"/>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rdesrrarl-aae2_udiguo">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p>
      <w:pPr>
        <w:pStyle w:val="Heading1"/>
      </w:pPr>
      <w:r>
        <w:t xml:space="preserve">Chapter 5: Elements of Style</w:t>
      </w:r>
    </w:p>
    <w:p>
      <w:pPr>
        <w:pStyle w:val="Normal"/>
      </w:pPr>
      <w:r>
        <w:t xml:space="preserve">Badly written Forth has been compared to code that went through a trash compactor, and 8th earns the same warning honestly: a language with this little enforced structure gives you the freedom to write something genuinely hard to read, right alongside the freedom to write something exceptionally clear. Nothing in the language nudges you toward either one. Style — how you organize source across files, how you comment, how you name things — is what decides which freedom you actually used.</w:t>
      </w:r>
    </w:p>
    <w:p>
      <w:pPr>
        <w:pStyle w:val="Normal"/>
      </w:pPr>
      <w:r>
        <w:t xml:space="preserve">This chapter is about that decision: organizing source, documenting stack effects precisely, and choosing names that pull their weight.</w:t>
      </w:r>
    </w:p>
    <w:p>
      <w:pPr>
        <w:pStyle w:val="Heading2"/>
      </w:pPr>
      <w:r>
        <w:t xml:space="preserve">Organizing Your Source</w:t>
      </w:r>
    </w:p>
    <w:p>
      <w:pPr>
        <w:pStyle w:val="Normal"/>
      </w:pPr>
      <w:r>
        <w:t xml:space="preserve">In 1984, Forth stored source code in fixed-size "screens" — literally, disk blocks, addressed by number, loaded with directives like </w:t>
      </w:r>
      <w:r>
        <w:rPr>
          <w:rFonts w:ascii="Consolas" w:cs="Consolas" w:eastAsia="Consolas" w:hAnsi="Consolas"/>
          <w:sz w:val="20"/>
          <w:szCs w:val="20"/>
        </w:rPr>
        <w:t xml:space="preserve">--&gt;</w:t>
      </w:r>
      <w:r>
        <w:t xml:space="preserve"> and </w:t>
      </w:r>
      <w:r>
        <w:rPr>
          <w:rFonts w:ascii="Consolas" w:cs="Consolas" w:eastAsia="Consolas" w:hAnsi="Consolas"/>
          <w:sz w:val="20"/>
          <w:szCs w:val="20"/>
        </w:rPr>
        <w:t xml:space="preserve">THRU</w:t>
      </w:r>
      <w:r>
        <w:t xml:space="preserve"> that told the system which screens to read next. A large chunk of Brodie's original chapter is about disciplines for numbering and loading screens well. None of that exists in 8th, or in most other languages written since: 8th source lives in ordinary text files, of any length, organized however your filesystem lets you organize anything else. The mechanism is gone; the underlying question it was trying to answer isn't: </w:t>
      </w:r>
      <w:r>
        <w:rPr>
          <w:i/>
          <w:iCs/>
        </w:rPr>
        <w:t xml:space="preserve">given a program built from many small words across many components, how should the source be laid out so a reader can find their way around it?</w:t>
      </w:r>
    </w:p>
    <w:p>
      <w:pPr>
        <w:pStyle w:val="Normal"/>
      </w:pPr>
      <w:r>
        <w:t xml:space="preserve">The answer Chapter 3 already gave for </w:t>
      </w:r>
      <w:r>
        <w:rPr>
          <w:i/>
          <w:iCs/>
        </w:rPr>
        <w:t xml:space="preserve">words within one file</w:t>
      </w:r>
      <w:r>
        <w:t xml:space="preserve"> — let the order mirror the "uses" hierarchy, foundations before what's built on them — extends naturally to </w:t>
      </w:r>
      <w:r>
        <w:rPr>
          <w:i/>
          <w:iCs/>
        </w:rPr>
        <w:t xml:space="preserve">files within a project</w:t>
      </w:r>
      <w:r>
        <w:t xml:space="preserve">: put each component in its own file, and load the files a component depends on before the files that use it.</w:t>
      </w:r>
    </w:p>
    <w:p>
      <w:pPr>
        <w:pStyle w:val="Normal"/>
      </w:pPr>
      <w:r>
        <w:t xml:space="preserve">8th's word for this is </w:t>
      </w:r>
      <w:r>
        <w:rPr>
          <w:rFonts w:ascii="Consolas" w:cs="Consolas" w:eastAsia="Consolas" w:hAnsi="Consolas"/>
          <w:sz w:val="20"/>
          <w:szCs w:val="20"/>
        </w:rPr>
        <w:t xml:space="preserve">f:include</w:t>
      </w:r>
      <w:r>
        <w:t xml:space="preserve">. Give it a file path (as a string, the same as any other), and it reads that file and runs it, exactly as if you'd typed its contents at this point yourself — which means every word the included file defines becomes available immediately afterward:</w:t>
      </w:r>
    </w:p>
    <w:p>
      <w:pPr>
        <w:pStyle w:val="Code"/>
        <w:keepNext/>
        <w:keepLines/>
      </w:pPr>
      <w:r>
        <w:t xml:space="preserve">\ stock-component.8th</w:t>
      </w:r>
    </w:p>
    <w:p>
      <w:pPr>
        <w:pStyle w:val="Code"/>
        <w:keepNext/>
        <w:keepLines/>
      </w:pPr>
      <w:r>
        <w:t xml:space="preserve">0 var, total</w:t>
      </w:r>
    </w:p>
    <w:p>
      <w:pPr>
        <w:pStyle w:val="Code"/>
        <w:keepNext/>
        <w:keepLines/>
      </w:pPr>
      <w:r>
        <w:t xml:space="preserve"> </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Code"/>
        <w:keepNext/>
        <w:keepLines/>
      </w:pPr>
      <w:r>
        <w:t xml:space="preserve">\ stock-main.8th</w:t>
      </w:r>
    </w:p>
    <w:p>
      <w:pPr>
        <w:pStyle w:val="Code"/>
        <w:keepNext/>
        <w:keepLines/>
      </w:pPr>
      <w:r>
        <w:t xml:space="preserve">"code/ch05/stock-component.8th" f:include</w:t>
      </w:r>
    </w:p>
    <w:p>
      <w:pPr>
        <w:pStyle w:val="Code"/>
        <w:keepNext/>
        <w:keepLines/>
      </w:pPr>
      <w:r>
        <w:t xml:space="preserve"> </w:t>
      </w:r>
    </w:p>
    <w:p>
      <w:pPr>
        <w:pStyle w:val="Code"/>
        <w:keepNext/>
        <w:keepLines/>
      </w:pPr>
      <w:r>
        <w:t xml:space="preserve">5 stock:add</w:t>
      </w:r>
    </w:p>
    <w:p>
      <w:pPr>
        <w:pStyle w:val="Code"/>
        <w:keepNext/>
        <w:keepLines/>
      </w:pPr>
      <w:r>
        <w:t xml:space="preserve">3 stock:add</w:t>
      </w:r>
    </w:p>
    <w:p>
      <w:pPr>
        <w:pStyle w:val="Code"/>
        <w:keepLines/>
      </w:pPr>
      <w:r>
        <w:t xml:space="preserve">stock:count . cr    \ =&gt; 8</w:t>
      </w:r>
    </w:p>
    <w:p>
      <w:pPr>
        <w:pStyle w:val="CodeOutput"/>
        <w:keepLines/>
      </w:pPr>
      <w:r>
        <w:t xml:space="preserve">8</w:t>
      </w:r>
    </w:p>
    <w:p>
      <w:pPr>
        <w:pStyle w:val="Normal"/>
      </w:pPr>
      <w:r>
        <w:t xml:space="preserve">This is </w:t>
      </w:r>
      <w:hyperlink w:history="1" r:id="rIdus8jdf_bfupcgknabus5b">
        <w:r>
          <w:rPr>
            <w:rStyle w:val="Hyperlink"/>
          </w:rPr>
          <w:t xml:space="preserve">`code/ch05/stock-main.8th`</w:t>
        </w:r>
      </w:hyperlink>
      <w:r>
        <w:t xml:space="preserve"> and </w:t>
      </w:r>
      <w:hyperlink w:history="1" r:id="rIdahkbpgvrhfm8ckkrbeywq">
        <w:r>
          <w:rPr>
            <w:rStyle w:val="Hyperlink"/>
          </w:rPr>
          <w:t xml:space="preserve">`code/ch05/stock-component.8th`</w:t>
        </w:r>
      </w:hyperlink>
      <w:r>
        <w:t xml:space="preserve">, run together exactly as shown, from the repository root.</w:t>
      </w:r>
    </w:p>
    <w:p>
      <w:pPr>
        <w:pStyle w:val="Normal"/>
      </w:pPr>
      <w:r>
        <w:t xml:space="preserve">That last detail matters and is easy to get wrong: </w:t>
      </w:r>
      <w:r>
        <w:rPr>
          <w:rFonts w:ascii="Consolas" w:cs="Consolas" w:eastAsia="Consolas" w:hAnsi="Consolas"/>
          <w:sz w:val="20"/>
          <w:szCs w:val="20"/>
        </w:rPr>
        <w:t xml:space="preserve">f:include</w:t>
      </w:r>
      <w:r>
        <w:t xml:space="preserve">'s path is resolved relative to </w:t>
      </w:r>
      <w:r>
        <w:rPr>
          <w:i/>
          <w:iCs/>
        </w:rPr>
        <w:t xml:space="preserve">the current working directory at the moment you run the program</w:t>
      </w:r>
      <w:r>
        <w:t xml:space="preserve"> — not relative to the file doing the including, the way some other languages' import statements work. </w:t>
      </w:r>
      <w:r>
        <w:rPr>
          <w:rFonts w:ascii="Consolas" w:cs="Consolas" w:eastAsia="Consolas" w:hAnsi="Consolas"/>
          <w:sz w:val="20"/>
          <w:szCs w:val="20"/>
        </w:rPr>
        <w:t xml:space="preserve">stock-main.8th</w:t>
      </w:r>
      <w:r>
        <w:t xml:space="preserve"> says </w:t>
      </w:r>
      <w:r>
        <w:rPr>
          <w:rFonts w:ascii="Consolas" w:cs="Consolas" w:eastAsia="Consolas" w:hAnsi="Consolas"/>
          <w:sz w:val="20"/>
          <w:szCs w:val="20"/>
        </w:rPr>
        <w:t xml:space="preserve">"code/ch05/stock-component.8th"</w:t>
      </w:r>
      <w:r>
        <w:t xml:space="preserve">, which only resolves correctly because this book's convention (established in "Getting 8th and Running Your First Program") is to always run examples from the repository root. Move either file, or run it from somewhere else, and the path needs updating to match — 8th won't figure out "the file next to me" on your behalf.</w:t>
      </w:r>
    </w:p>
    <w:p>
      <w:pPr>
        <w:pStyle w:val="Normal"/>
      </w:pPr>
      <w:r>
        <w:rPr>
          <w:i/>
          <w:iCs/>
        </w:rPr>
        <w:t xml:space="preserve">(8th also has `needs`, which loads a file by name from a fixed set of library locations — worth knowing about, but a different tool: it's for pulling in a shared library that lives in one of those known places, not for organizing the files of your own application relative to each other.)</w:t>
      </w:r>
    </w:p>
    <w:p>
      <w:pPr>
        <w:pStyle w:val="Heading2"/>
      </w:pPr>
      <w:r>
        <w:t xml:space="preserve">Formatting: Spacing and Indentation</w:t>
      </w:r>
    </w:p>
    <w:p>
      <w:pPr>
        <w:pStyle w:val="Normal"/>
      </w:pPr>
      <w:r>
        <w:t xml:space="preserve">Nothing in 8th enforces indentation — you could write every example in this book as one unbroken line and it would run identically. Every example in this book has nonetheless been indented consistently: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w:t>
      </w:r>
      <w:r>
        <w:rPr>
          <w:rFonts w:ascii="Consolas" w:cs="Consolas" w:eastAsia="Consolas" w:hAnsi="Consolas"/>
          <w:sz w:val="20"/>
          <w:szCs w:val="20"/>
        </w:rPr>
        <w:t xml:space="preserve">then</w:t>
      </w:r>
      <w:r>
        <w:t xml:space="preserve"> bodies indented one level in, a </w:t>
      </w:r>
      <w:r>
        <w:rPr>
          <w:rFonts w:ascii="Consolas" w:cs="Consolas" w:eastAsia="Consolas" w:hAnsi="Consolas"/>
          <w:sz w:val="20"/>
          <w:szCs w:val="20"/>
        </w:rPr>
        <w:t xml:space="preserve">repeat</w:t>
      </w:r>
      <w:r>
        <w:t xml:space="preserve">/</w:t>
      </w:r>
      <w:r>
        <w:rPr>
          <w:rFonts w:ascii="Consolas" w:cs="Consolas" w:eastAsia="Consolas" w:hAnsi="Consolas"/>
          <w:sz w:val="20"/>
          <w:szCs w:val="20"/>
        </w:rPr>
        <w:t xml:space="preserve">while!</w:t>
      </w:r>
      <w:r>
        <w:t xml:space="preserve"> body indented the same way, a word's body indented under its </w:t>
      </w:r>
      <w:r>
        <w:rPr>
          <w:rFonts w:ascii="Consolas" w:cs="Consolas" w:eastAsia="Consolas" w:hAnsi="Consolas"/>
          <w:sz w:val="20"/>
          <w:szCs w:val="20"/>
        </w:rPr>
        <w:t xml:space="preserve">:</w:t>
      </w:r>
      <w:r>
        <w:t xml:space="preserve"> line. None of that was called out explicitly until now, because the pattern itself was the lesson — by Chapter 3 or so, the indentation was probably already telling you where a conditional's branches began and ended before you'd consciously noticed it doing so. That's what consistent formatting is </w:t>
      </w:r>
      <w:r>
        <w:rPr>
          <w:i/>
          <w:iCs/>
        </w:rPr>
        <w:t xml:space="preserve">for</w:t>
      </w:r>
      <w:r>
        <w:t xml:space="preserve">: structure a reader can absorb without deliberately parsing it.</w:t>
      </w:r>
    </w:p>
    <w:p>
      <w:pPr>
        <w:pStyle w:val="Heading2"/>
      </w:pPr>
      <w:r>
        <w:t xml:space="preserve">Documenting Stack Effects, Precisely</w:t>
      </w:r>
    </w:p>
    <w:p>
      <w:pPr>
        <w:pStyle w:val="Normal"/>
      </w:pPr>
      <w:r>
        <w:t xml:space="preserve">"A Note on Notation" introduced the shape of a stack-effect comment — </w:t>
      </w:r>
      <w:r>
        <w:rPr>
          <w:rFonts w:ascii="Consolas" w:cs="Consolas" w:eastAsia="Consolas" w:hAnsi="Consolas"/>
          <w:sz w:val="20"/>
          <w:szCs w:val="20"/>
        </w:rPr>
        <w:t xml:space="preserve">\ inputs -- outputs</w:t>
      </w:r>
      <w:r>
        <w:t xml:space="preserve"> — but not a shared vocabulary for describing what those inputs and outputs </w:t>
      </w:r>
      <w:r>
        <w:rPr>
          <w:i/>
          <w:iCs/>
        </w:rPr>
        <w:t xml:space="preserve">are</w:t>
      </w:r>
      <w:r>
        <w:t xml:space="preserve">. A small set of one- or two-letter abbreviations, used consistently, makes a SED readable at a glance without reading the word's body at all:</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4077"/>
        <w:gridCol w:w="4077"/>
      </w:tblGrid>
      <w:tr>
        <w:trPr>
          <w:cantSplit/>
          <w:tblHeader/>
        </w:trPr>
        <w:tc>
          <w:tcPr>
            <w:tcW w:type="dxa" w:w="4077"/>
            <w:shd w:fill="E8E8E8" w:val="clear"/>
          </w:tcPr>
          <w:p>
            <w:pPr>
              <w:pStyle w:val="TableText"/>
            </w:pPr>
            <w:r>
              <w:rPr>
                <w:b/>
                <w:bCs/>
              </w:rPr>
              <w:t xml:space="preserve">abbreviation</w:t>
            </w:r>
          </w:p>
        </w:tc>
        <w:tc>
          <w:tcPr>
            <w:tcW w:type="dxa" w:w="4077"/>
            <w:shd w:fill="E8E8E8" w:val="clear"/>
          </w:tcPr>
          <w:p>
            <w:pPr>
              <w:pStyle w:val="TableText"/>
            </w:pPr>
            <w:r>
              <w:rPr>
                <w:b/>
                <w:bCs/>
              </w:rPr>
              <w:t xml:space="preserve">means</w:t>
            </w:r>
          </w:p>
        </w:tc>
      </w:tr>
      <w:tr>
        <w:trPr>
          <w:cantSplit/>
          <w:tblHeader w:val="false"/>
        </w:trPr>
        <w:tc>
          <w:tcPr>
            <w:tcW w:type="dxa" w:w="4077"/>
          </w:tcPr>
          <w:p>
            <w:pPr>
              <w:pStyle w:val="TableText"/>
            </w:pPr>
            <w:r>
              <w:rPr>
                <w:rFonts w:ascii="Consolas" w:cs="Consolas" w:eastAsia="Consolas" w:hAnsi="Consolas"/>
                <w:sz w:val="20"/>
                <w:szCs w:val="20"/>
              </w:rPr>
              <w:t xml:space="preserve">n</w:t>
            </w:r>
          </w:p>
        </w:tc>
        <w:tc>
          <w:tcPr>
            <w:tcW w:type="dxa" w:w="4077"/>
          </w:tcPr>
          <w:p>
            <w:pPr>
              <w:pStyle w:val="TableText"/>
            </w:pPr>
            <w:r>
              <w:t xml:space="preserve">a number</w:t>
            </w:r>
          </w:p>
        </w:tc>
      </w:tr>
      <w:tr>
        <w:trPr>
          <w:cantSplit/>
          <w:tblHeader w:val="false"/>
        </w:trPr>
        <w:tc>
          <w:tcPr>
            <w:tcW w:type="dxa" w:w="4077"/>
          </w:tcPr>
          <w:p>
            <w:pPr>
              <w:pStyle w:val="TableText"/>
            </w:pPr>
            <w:r>
              <w:rPr>
                <w:rFonts w:ascii="Consolas" w:cs="Consolas" w:eastAsia="Consolas" w:hAnsi="Consolas"/>
                <w:sz w:val="20"/>
                <w:szCs w:val="20"/>
              </w:rPr>
              <w:t xml:space="preserve">s</w:t>
            </w:r>
          </w:p>
        </w:tc>
        <w:tc>
          <w:tcPr>
            <w:tcW w:type="dxa" w:w="4077"/>
          </w:tcPr>
          <w:p>
            <w:pPr>
              <w:pStyle w:val="TableText"/>
            </w:pPr>
            <w:r>
              <w:t xml:space="preserve">a string</w:t>
            </w:r>
          </w:p>
        </w:tc>
      </w:tr>
      <w:tr>
        <w:trPr>
          <w:cantSplit/>
          <w:tblHeader w:val="false"/>
        </w:trPr>
        <w:tc>
          <w:tcPr>
            <w:tcW w:type="dxa" w:w="4077"/>
          </w:tcPr>
          <w:p>
            <w:pPr>
              <w:pStyle w:val="TableText"/>
            </w:pPr>
            <w:r>
              <w:rPr>
                <w:rFonts w:ascii="Consolas" w:cs="Consolas" w:eastAsia="Consolas" w:hAnsi="Consolas"/>
                <w:sz w:val="20"/>
                <w:szCs w:val="20"/>
              </w:rPr>
              <w:t xml:space="preserve">flag</w:t>
            </w:r>
          </w:p>
        </w:tc>
        <w:tc>
          <w:tcPr>
            <w:tcW w:type="dxa" w:w="4077"/>
          </w:tcPr>
          <w:p>
            <w:pPr>
              <w:pStyle w:val="TableText"/>
            </w:pPr>
            <w:r>
              <w:t xml:space="preserve">a boolean</w:t>
            </w:r>
          </w:p>
        </w:tc>
      </w:tr>
      <w:tr>
        <w:trPr>
          <w:cantSplit/>
          <w:tblHeader w:val="false"/>
        </w:trPr>
        <w:tc>
          <w:tcPr>
            <w:tcW w:type="dxa" w:w="4077"/>
          </w:tcPr>
          <w:p>
            <w:pPr>
              <w:pStyle w:val="TableText"/>
            </w:pPr>
            <w:r>
              <w:rPr>
                <w:rFonts w:ascii="Consolas" w:cs="Consolas" w:eastAsia="Consolas" w:hAnsi="Consolas"/>
                <w:sz w:val="20"/>
                <w:szCs w:val="20"/>
              </w:rPr>
              <w:t xml:space="preserve">a</w:t>
            </w:r>
          </w:p>
        </w:tc>
        <w:tc>
          <w:tcPr>
            <w:tcW w:type="dxa" w:w="4077"/>
          </w:tcPr>
          <w:p>
            <w:pPr>
              <w:pStyle w:val="TableText"/>
            </w:pPr>
            <w:r>
              <w:t xml:space="preserve">an array</w:t>
            </w:r>
          </w:p>
        </w:tc>
      </w:tr>
      <w:tr>
        <w:trPr>
          <w:cantSplit/>
          <w:tblHeader w:val="false"/>
        </w:trPr>
        <w:tc>
          <w:tcPr>
            <w:tcW w:type="dxa" w:w="4077"/>
          </w:tcPr>
          <w:p>
            <w:pPr>
              <w:pStyle w:val="TableText"/>
            </w:pPr>
            <w:r>
              <w:rPr>
                <w:rFonts w:ascii="Consolas" w:cs="Consolas" w:eastAsia="Consolas" w:hAnsi="Consolas"/>
                <w:sz w:val="20"/>
                <w:szCs w:val="20"/>
              </w:rPr>
              <w:t xml:space="preserve">m</w:t>
            </w:r>
          </w:p>
        </w:tc>
        <w:tc>
          <w:tcPr>
            <w:tcW w:type="dxa" w:w="4077"/>
          </w:tcPr>
          <w:p>
            <w:pPr>
              <w:pStyle w:val="TableText"/>
            </w:pPr>
            <w:r>
              <w:t xml:space="preserve">a map</w:t>
            </w:r>
          </w:p>
        </w:tc>
      </w:tr>
      <w:tr>
        <w:trPr>
          <w:cantSplit/>
          <w:tblHeader w:val="false"/>
        </w:trPr>
        <w:tc>
          <w:tcPr>
            <w:tcW w:type="dxa" w:w="4077"/>
          </w:tcPr>
          <w:p>
            <w:pPr>
              <w:pStyle w:val="TableText"/>
            </w:pPr>
            <w:r>
              <w:rPr>
                <w:rFonts w:ascii="Consolas" w:cs="Consolas" w:eastAsia="Consolas" w:hAnsi="Consolas"/>
                <w:sz w:val="20"/>
                <w:szCs w:val="20"/>
              </w:rPr>
              <w:t xml:space="preserve">ref</w:t>
            </w:r>
          </w:p>
        </w:tc>
        <w:tc>
          <w:tcPr>
            <w:tcW w:type="dxa" w:w="4077"/>
          </w:tcPr>
          <w:p>
            <w:pPr>
              <w:pStyle w:val="TableText"/>
            </w:pPr>
            <w:r>
              <w:t xml:space="preserve">a variable reference (what a </w:t>
            </w:r>
            <w:r>
              <w:rPr>
                <w:rFonts w:ascii="Consolas" w:cs="Consolas" w:eastAsia="Consolas" w:hAnsi="Consolas"/>
                <w:sz w:val="20"/>
                <w:szCs w:val="20"/>
              </w:rPr>
              <w:t xml:space="preserve">var</w:t>
            </w:r>
            <w:r>
              <w:t xml:space="preserve">'s bare name produces)</w:t>
            </w:r>
          </w:p>
        </w:tc>
      </w:tr>
    </w:tbl>
    <w:p/>
    <w:p>
      <w:pPr>
        <w:pStyle w:val="Normal"/>
      </w:pPr>
      <w:r>
        <w:t xml:space="preserve">Every SED already shown in this book happens to follow this vocabulary — </w:t>
      </w:r>
      <w:r>
        <w:rPr>
          <w:rFonts w:ascii="Consolas" w:cs="Consolas" w:eastAsia="Consolas" w:hAnsi="Consolas"/>
          <w:sz w:val="20"/>
          <w:szCs w:val="20"/>
        </w:rPr>
        <w:t xml:space="preserve">\ hours -- cents</w:t>
      </w:r>
      <w:r>
        <w:t xml:space="preserve"> and </w:t>
      </w:r>
      <w:r>
        <w:rPr>
          <w:rFonts w:ascii="Consolas" w:cs="Consolas" w:eastAsia="Consolas" w:hAnsi="Consolas"/>
          <w:sz w:val="20"/>
          <w:szCs w:val="20"/>
        </w:rPr>
        <w:t xml:space="preserve">\ level -- feet</w:t>
      </w:r>
      <w:r>
        <w:t xml:space="preserve"> are really </w:t>
      </w:r>
      <w:r>
        <w:rPr>
          <w:rFonts w:ascii="Consolas" w:cs="Consolas" w:eastAsia="Consolas" w:hAnsi="Consolas"/>
          <w:sz w:val="20"/>
          <w:szCs w:val="20"/>
        </w:rPr>
        <w:t xml:space="preserve">n -- n</w:t>
      </w:r>
      <w:r>
        <w:t xml:space="preserve"> with more specific names substituted where the specific meaning mattered more than the type. Both are legitimate; use the specific name when it adds real information, the generic abbreviation when the type is all that matters.</w:t>
      </w:r>
    </w:p>
    <w:p>
      <w:pPr>
        <w:pStyle w:val="Normal"/>
      </w:pPr>
      <w:r>
        <w:t xml:space="preserve">Some words don't have </w:t>
      </w:r>
      <w:r>
        <w:rPr>
          <w:i/>
          <w:iCs/>
        </w:rPr>
        <w:t xml:space="preserve">one</w:t>
      </w:r>
      <w:r>
        <w:t xml:space="preserve"> stack effect — they have one for each outcome. Chapter 4's </w:t>
      </w:r>
      <w:r>
        <w:rPr>
          <w:rFonts w:ascii="Consolas" w:cs="Consolas" w:eastAsia="Consolas" w:hAnsi="Consolas"/>
          <w:sz w:val="20"/>
          <w:szCs w:val="20"/>
        </w:rPr>
        <w:t xml:space="preserve">level-open?</w:t>
      </w:r>
      <w:r>
        <w:t xml:space="preserve"> always returns exactly one flag, but plenty of realistic words return different </w:t>
      </w:r>
      <w:r>
        <w:rPr>
          <w:i/>
          <w:iCs/>
        </w:rPr>
        <w:t xml:space="preserve">numbers</w:t>
      </w:r>
      <w:r>
        <w:t xml:space="preserve"> of things depending on what happened. A division that has to handle "don't divide by zero" is a small, honest example:</w:t>
      </w:r>
    </w:p>
    <w:p>
      <w:pPr>
        <w:pStyle w:val="Code"/>
        <w:keepNext/>
        <w:keepLines/>
      </w:pPr>
      <w:r>
        <w:t xml:space="preserve">: safe-div  \ n1 n2 -- n1/n2 true | false</w:t>
      </w:r>
    </w:p>
    <w:p>
      <w:pPr>
        <w:pStyle w:val="Code"/>
        <w:keepNext/>
        <w:keepLines/>
      </w:pPr>
      <w:r>
        <w:t xml:space="preserve">  dup 0 n:= if</w:t>
      </w:r>
    </w:p>
    <w:p>
      <w:pPr>
        <w:pStyle w:val="Code"/>
        <w:keepNext/>
        <w:keepLines/>
      </w:pPr>
      <w:r>
        <w:t xml:space="preserve">    drop drop false</w:t>
      </w:r>
    </w:p>
    <w:p>
      <w:pPr>
        <w:pStyle w:val="Code"/>
        <w:keepNext/>
        <w:keepLines/>
      </w:pPr>
      <w:r>
        <w:t xml:space="preserve">  else</w:t>
      </w:r>
    </w:p>
    <w:p>
      <w:pPr>
        <w:pStyle w:val="Code"/>
        <w:keepNext/>
        <w:keepLines/>
      </w:pPr>
      <w:r>
        <w:t xml:space="preserve">    n:/ true</w:t>
      </w:r>
    </w:p>
    <w:p>
      <w:pPr>
        <w:pStyle w:val="Code"/>
        <w:keepNext/>
        <w:keepLines/>
      </w:pPr>
      <w:r>
        <w:t xml:space="preserve">  then ;</w:t>
      </w:r>
    </w:p>
    <w:p>
      <w:pPr>
        <w:pStyle w:val="Code"/>
        <w:keepNext/>
        <w:keepLines/>
      </w:pPr>
      <w:r>
        <w:t xml:space="preserve"> </w:t>
      </w:r>
    </w:p>
    <w:p>
      <w:pPr>
        <w:pStyle w:val="Code"/>
        <w:keepNext/>
        <w:keepLines/>
      </w:pPr>
      <w:r>
        <w:t xml:space="preserve">10 2 safe-div . cr . cr    \ =&gt; true, then 5</w:t>
      </w:r>
    </w:p>
    <w:p>
      <w:pPr>
        <w:pStyle w:val="Code"/>
        <w:keepLines/>
      </w:pPr>
      <w:r>
        <w:t xml:space="preserve">10 0 safe-div . cr         \ =&gt; false</w:t>
      </w:r>
    </w:p>
    <w:p>
      <w:pPr>
        <w:pStyle w:val="CodeOutput"/>
        <w:keepNext/>
        <w:keepLines/>
      </w:pPr>
      <w:r>
        <w:t xml:space="preserve">true</w:t>
      </w:r>
    </w:p>
    <w:p>
      <w:pPr>
        <w:pStyle w:val="CodeOutput"/>
        <w:keepNext/>
        <w:keepLines/>
      </w:pPr>
      <w:r>
        <w:t xml:space="preserve">5</w:t>
      </w:r>
    </w:p>
    <w:p>
      <w:pPr>
        <w:pStyle w:val="CodeOutput"/>
        <w:keepLines/>
      </w:pPr>
      <w:r>
        <w:t xml:space="preserve">false</w:t>
      </w:r>
    </w:p>
    <w:p>
      <w:pPr>
        <w:pStyle w:val="Normal"/>
      </w:pPr>
      <w:r>
        <w:t xml:space="preserve">Read the SED's </w:t>
      </w:r>
      <w:r>
        <w:rPr>
          <w:rFonts w:ascii="Consolas" w:cs="Consolas" w:eastAsia="Consolas" w:hAnsi="Consolas"/>
          <w:sz w:val="20"/>
          <w:szCs w:val="20"/>
        </w:rPr>
        <w:t xml:space="preserve">|</w:t>
      </w:r>
      <w:r>
        <w:t xml:space="preserve"> as "or": either the division succeeds and you get the quotient followed by </w:t>
      </w:r>
      <w:r>
        <w:rPr>
          <w:rFonts w:ascii="Consolas" w:cs="Consolas" w:eastAsia="Consolas" w:hAnsi="Consolas"/>
          <w:sz w:val="20"/>
          <w:szCs w:val="20"/>
        </w:rPr>
        <w:t xml:space="preserve">true</w:t>
      </w:r>
      <w:r>
        <w:t xml:space="preserve">, or it doesn't and you get </w:t>
      </w:r>
      <w:r>
        <w:rPr>
          <w:rFonts w:ascii="Consolas" w:cs="Consolas" w:eastAsia="Consolas" w:hAnsi="Consolas"/>
          <w:sz w:val="20"/>
          <w:szCs w:val="20"/>
        </w:rPr>
        <w:t xml:space="preserve">false</w:t>
      </w:r>
      <w:r>
        <w:t xml:space="preserve"> alone — two genuinely different stack pictures for the same word, both written out in full, because writing only one of them would silently promise something that isn't always true.</w:t>
      </w:r>
    </w:p>
    <w:p>
      <w:pPr>
        <w:pStyle w:val="Heading2"/>
      </w:pPr>
      <w:r>
        <w:t xml:space="preserve">Choosing Names</w:t>
      </w:r>
    </w:p>
    <w:p>
      <w:pPr>
        <w:pStyle w:val="Normal"/>
      </w:pPr>
      <w:r>
        <w:t xml:space="preserve">Short names are easier to read than long ones — </w:t>
      </w:r>
      <w:r>
        <w:rPr>
          <w:i/>
          <w:iCs/>
        </w:rPr>
        <w:t xml:space="preserve">if</w:t>
      </w:r>
      <w:r>
        <w:t xml:space="preserve"> they're still clear. </w:t>
      </w:r>
      <w:r>
        <w:rPr>
          <w:rFonts w:ascii="Consolas" w:cs="Consolas" w:eastAsia="Consolas" w:hAnsi="Consolas"/>
          <w:sz w:val="20"/>
          <w:szCs w:val="20"/>
        </w:rPr>
        <w:t xml:space="preserve">space-available?</w:t>
      </w:r>
      <w:r>
        <w:t xml:space="preserve"> earns its length because "free?" or "ok?" would have been too vague to be worth the four fewer characters; </w:t>
      </w:r>
      <w:r>
        <w:rPr>
          <w:rFonts w:ascii="Consolas" w:cs="Consolas" w:eastAsia="Consolas" w:hAnsi="Consolas"/>
          <w:sz w:val="20"/>
          <w:szCs w:val="20"/>
        </w:rPr>
        <w:t xml:space="preserve">.</w:t>
      </w:r>
      <w:r>
        <w:t xml:space="preserve"> earns its brevity because "print" would add nothing that context doesn't already supply. There's no formula for this, only the test of reading the finished line back and asking whether a stranger would understand it.</w:t>
      </w:r>
    </w:p>
    <w:p>
      <w:pPr>
        <w:pStyle w:val="Normal"/>
      </w:pPr>
      <w:r>
        <w:t xml:space="preserve">One instinct worth resisting: naming a word to describe everything it does, rather than what it </w:t>
      </w:r>
      <w:r>
        <w:rPr>
          <w:i/>
          <w:iCs/>
        </w:rPr>
        <w:t xml:space="preserve">is</w:t>
      </w:r>
      <w:r>
        <w:t xml:space="preserve">. A prefix or suffix is for </w:t>
      </w:r>
      <w:r>
        <w:rPr>
          <w:i/>
          <w:iCs/>
        </w:rPr>
        <w:t xml:space="preserve">distinguishing</w:t>
      </w:r>
      <w:r>
        <w:t xml:space="preserve"> one word from a similarly-named other, not for cramming a description into the name itself. </w:t>
      </w:r>
      <w:r>
        <w:rPr>
          <w:rFonts w:ascii="Consolas" w:cs="Consolas" w:eastAsia="Consolas" w:hAnsi="Consolas"/>
          <w:sz w:val="20"/>
          <w:szCs w:val="20"/>
        </w:rPr>
        <w:t xml:space="preserve">garage-full?</w:t>
      </w:r>
      <w:r>
        <w:t xml:space="preserve"> doesn't need to be </w:t>
      </w:r>
      <w:r>
        <w:rPr>
          <w:rFonts w:ascii="Consolas" w:cs="Consolas" w:eastAsia="Consolas" w:hAnsi="Consolas"/>
          <w:sz w:val="20"/>
          <w:szCs w:val="20"/>
        </w:rPr>
        <w:t xml:space="preserve">garage-currently-at-maximum-capacity-flag</w:t>
      </w:r>
      <w:r>
        <w:t xml:space="preserve"> — the </w:t>
      </w:r>
      <w:r>
        <w:rPr>
          <w:rFonts w:ascii="Consolas" w:cs="Consolas" w:eastAsia="Consolas" w:hAnsi="Consolas"/>
          <w:sz w:val="20"/>
          <w:szCs w:val="20"/>
        </w:rPr>
        <w:t xml:space="preserve">?</w:t>
      </w:r>
      <w:r>
        <w:t xml:space="preserve"> alone tells a reader "this is a question, expect a boolean back," which is exactly as much as the name needs to promise.</w:t>
      </w:r>
    </w:p>
    <w:p>
      <w:pPr>
        <w:pStyle w:val="Normal"/>
      </w:pPr>
      <w:r>
        <w:t xml:space="preserve">That </w:t>
      </w:r>
      <w:r>
        <w:rPr>
          <w:rFonts w:ascii="Consolas" w:cs="Consolas" w:eastAsia="Consolas" w:hAnsi="Consolas"/>
          <w:sz w:val="20"/>
          <w:szCs w:val="20"/>
        </w:rPr>
        <w:t xml:space="preserve">?</w:t>
      </w:r>
      <w:r>
        <w:t xml:space="preserve"> is doing real, and by now familiar, work. Look back over this book's own examples: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space-available?</w:t>
      </w:r>
      <w:r>
        <w:t xml:space="preserve">, </w:t>
      </w:r>
      <w:r>
        <w:rPr>
          <w:rFonts w:ascii="Consolas" w:cs="Consolas" w:eastAsia="Consolas" w:hAnsi="Consolas"/>
          <w:sz w:val="20"/>
          <w:szCs w:val="20"/>
        </w:rPr>
        <w:t xml:space="preserve">due?</w:t>
      </w:r>
      <w:r>
        <w:t xml:space="preserve">, </w:t>
      </w:r>
      <w:r>
        <w:rPr>
          <w:rFonts w:ascii="Consolas" w:cs="Consolas" w:eastAsia="Consolas" w:hAnsi="Consolas"/>
          <w:sz w:val="20"/>
          <w:szCs w:val="20"/>
        </w:rPr>
        <w:t xml:space="preserve">plausible?</w:t>
      </w:r>
      <w:r>
        <w:t xml:space="preserve">, </w:t>
      </w:r>
      <w:r>
        <w:rPr>
          <w:rFonts w:ascii="Consolas" w:cs="Consolas" w:eastAsia="Consolas" w:hAnsi="Consolas"/>
          <w:sz w:val="20"/>
          <w:szCs w:val="20"/>
        </w:rPr>
        <w:t xml:space="preserve">level-open?</w:t>
      </w:r>
      <w:r>
        <w:t xml:space="preserve"> — every predicate this book has written, without the convention ever being named until now, ends in </w:t>
      </w:r>
      <w:r>
        <w:rPr>
          <w:rFonts w:ascii="Consolas" w:cs="Consolas" w:eastAsia="Consolas" w:hAnsi="Consolas"/>
          <w:sz w:val="20"/>
          <w:szCs w:val="20"/>
        </w:rPr>
        <w:t xml:space="preserve">?</w:t>
      </w:r>
      <w:r>
        <w:t xml:space="preserve">. That's not a coincidence and it isn't unique to this book; it's close to universal practice across Forth and 8th alike, precisely because it costs one character and answers a real question — "can I use this directly in an </w:t>
      </w:r>
      <w:r>
        <w:rPr>
          <w:rFonts w:ascii="Consolas" w:cs="Consolas" w:eastAsia="Consolas" w:hAnsi="Consolas"/>
          <w:sz w:val="20"/>
          <w:szCs w:val="20"/>
        </w:rPr>
        <w:t xml:space="preserve">if</w:t>
      </w:r>
      <w:r>
        <w:t xml:space="preserve">?" — before you've read a single line of the definition.</w:t>
      </w:r>
    </w:p>
    <w:p>
      <w:pPr>
        <w:pStyle w:val="Normal"/>
      </w:pPr>
      <w:r>
        <w:t xml:space="preserve">8th gives this instinct a second, formal outlet beyond suffixes: namespaces. Chapter 1 already made the case that 8th's built-in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are namespaces doing, as an enforced language feature, what Forth programmers used to do only by naming discipline. The same tool is available for your own components — nothing restricts namespace prefixes to 8th's own built-in words:</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Normal"/>
      </w:pPr>
      <w:r>
        <w:rPr>
          <w:rFonts w:ascii="Consolas" w:cs="Consolas" w:eastAsia="Consolas" w:hAnsi="Consolas"/>
          <w:sz w:val="20"/>
          <w:szCs w:val="20"/>
        </w:rPr>
        <w:t xml:space="preserve">stock:add</w:t>
      </w:r>
      <w:r>
        <w:t xml:space="preserve"> and </w:t>
      </w:r>
      <w:r>
        <w:rPr>
          <w:rFonts w:ascii="Consolas" w:cs="Consolas" w:eastAsia="Consolas" w:hAnsi="Consolas"/>
          <w:sz w:val="20"/>
          <w:szCs w:val="20"/>
        </w:rPr>
        <w:t xml:space="preserve">stock:count</w:t>
      </w:r>
      <w:r>
        <w:t xml:space="preserve">, from the file-organization example above, already used this: the </w:t>
      </w:r>
      <w:r>
        <w:rPr>
          <w:rFonts w:ascii="Consolas" w:cs="Consolas" w:eastAsia="Consolas" w:hAnsi="Consolas"/>
          <w:sz w:val="20"/>
          <w:szCs w:val="20"/>
        </w:rPr>
        <w:t xml:space="preserve">stock:</w:t>
      </w:r>
      <w:r>
        <w:t xml:space="preserve"> prefix says, at the call site and not just in the defining file, which component a word belongs to — the same information a suffix like </w:t>
      </w:r>
      <w:r>
        <w:rPr>
          <w:rFonts w:ascii="Consolas" w:cs="Consolas" w:eastAsia="Consolas" w:hAnsi="Consolas"/>
          <w:sz w:val="20"/>
          <w:szCs w:val="20"/>
        </w:rPr>
        <w:t xml:space="preserve">?</w:t>
      </w:r>
      <w:r>
        <w:t xml:space="preserve"> gives about a word's </w:t>
      </w:r>
      <w:r>
        <w:rPr>
          <w:i/>
          <w:iCs/>
        </w:rPr>
        <w:t xml:space="preserve">return type</w:t>
      </w:r>
      <w:r>
        <w:t xml:space="preserve">, now given about its </w:t>
      </w:r>
      <w:r>
        <w:rPr>
          <w:i/>
          <w:iCs/>
        </w:rPr>
        <w:t xml:space="preserve">component membership</w:t>
      </w:r>
      <w:r>
        <w:t xml:space="preserve"> instead. Between namespace prefixes for "which component" and suffixes like </w:t>
      </w:r>
      <w:r>
        <w:rPr>
          <w:rFonts w:ascii="Consolas" w:cs="Consolas" w:eastAsia="Consolas" w:hAnsi="Consolas"/>
          <w:sz w:val="20"/>
          <w:szCs w:val="20"/>
        </w:rPr>
        <w:t xml:space="preserve">?</w:t>
      </w:r>
      <w:r>
        <w:t xml:space="preserve"> for "what kind of answer," 8th's own naming toolkit covers most of what Forth programmers used to negotiate by convention alone.</w:t>
      </w:r>
    </w:p>
    <w:p>
      <w:pPr>
        <w:pStyle w:val="Heading2"/>
      </w:pPr>
      <w:r>
        <w:t xml:space="preserve">Summary</w:t>
      </w:r>
    </w:p>
    <w:p>
      <w:pPr>
        <w:pStyle w:val="Normal"/>
      </w:pPr>
      <w:r>
        <w:t xml:space="preserve">8th's freedom from enforced structure doesn't make style optional — it makes style the entire difference between readable and unreadable code, since nothing else will supply that difference for you. Organize source files the way Chapter 3 already taught you to organize words within one file: foundations first, loaded with </w:t>
      </w:r>
      <w:r>
        <w:rPr>
          <w:rFonts w:ascii="Consolas" w:cs="Consolas" w:eastAsia="Consolas" w:hAnsi="Consolas"/>
          <w:sz w:val="20"/>
          <w:szCs w:val="20"/>
        </w:rPr>
        <w:t xml:space="preserve">f:include</w:t>
      </w:r>
      <w:r>
        <w:t xml:space="preserve">, paths resolved relative to where the program runs from rather than where the including file lives. Format consistently enough that structure is visible before it's read. Write stack-effect comments with a shared vocabulary of abbreviations, and write out every genuinely different outcome a word can have rather than picking one to document and hoping the rest are close enough. And name things to distinguish, not to describe — a </w:t>
      </w:r>
      <w:r>
        <w:rPr>
          <w:rFonts w:ascii="Consolas" w:cs="Consolas" w:eastAsia="Consolas" w:hAnsi="Consolas"/>
          <w:sz w:val="20"/>
          <w:szCs w:val="20"/>
        </w:rPr>
        <w:t xml:space="preserve">?</w:t>
      </w:r>
      <w:r>
        <w:t xml:space="preserve"> suffix or a namespace prefix carries real information in one or two characters; a long descriptive name usually carries less than it looks like it does.</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1ftlr7vvt8o4eqyyz8c" Type="http://schemas.openxmlformats.org/officeDocument/2006/relationships/hyperlink" Target="https://8th-dev.com/" TargetMode="External"/><Relationship Id="rIdhbxfqt7usyxjn2ryj1prh" Type="http://schemas.openxmlformats.org/officeDocument/2006/relationships/hyperlink" Target="https://sourceforge.net/projects/thinking-forth/" TargetMode="External"/><Relationship Id="rId3chhhsdx97usowbuk80x4" Type="http://schemas.openxmlformats.org/officeDocument/2006/relationships/hyperlink" Target="https://8th-dev.com/" TargetMode="External"/><Relationship Id="rIdfw3pnwe5p9v7jtcnwi2en" Type="http://schemas.openxmlformats.org/officeDocument/2006/relationships/hyperlink" Target="../code/ch01/breakfast.8th" TargetMode="External"/><Relationship Id="rIdkdpms12wicveiwawnpdzb" Type="http://schemas.openxmlformats.org/officeDocument/2006/relationships/hyperlink" Target="../code/ch01/breakfast.8th" TargetMode="External"/><Relationship Id="rIdjzs6zw33lrzkbj2gqzloc" Type="http://schemas.openxmlformats.org/officeDocument/2006/relationships/hyperlink" Target="../code/ch01/apples.8th" TargetMode="External"/><Relationship Id="rIdzyi4dceqhve24rcpx6twa" Type="http://schemas.openxmlformats.org/officeDocument/2006/relationships/hyperlink" Target="../code/ch02/parking-fee.8th" TargetMode="External"/><Relationship Id="rId7ww1i6ksc85qnawadnjl3" Type="http://schemas.openxmlformats.org/officeDocument/2006/relationships/hyperlink" Target="../code/ch03/thermostat.8th" TargetMode="External"/><Relationship Id="rIdhs8l_oodbejthiuooksup" Type="http://schemas.openxmlformats.org/officeDocument/2006/relationships/hyperlink" Target="../code/ch03/thermostat.8th" TargetMode="External"/><Relationship Id="rIdrdesrrarl-aae2_udiguo" Type="http://schemas.openxmlformats.org/officeDocument/2006/relationships/hyperlink" Target="../code/ch04/roman.8th" TargetMode="External"/><Relationship Id="rIdus8jdf_bfupcgknabus5b" Type="http://schemas.openxmlformats.org/officeDocument/2006/relationships/hyperlink" Target="../code/ch05/stock-main.8th" TargetMode="External"/><Relationship Id="rIdahkbpgvrhfm8ckkrbeywq" Type="http://schemas.openxmlformats.org/officeDocument/2006/relationships/hyperlink" Target="../code/ch05/stock-component.8th"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2026-08-28T22:49:10.815Z</dcterms:created>
  <dcterms:modified xsi:type="dcterms:W3CDTF">2026-08-28T22:49:10.815Z</dcterms:modified>
</cp:coreProperties>
</file>

<file path=docProps/custom.xml><?xml version="1.0" encoding="utf-8"?>
<Properties xmlns="http://schemas.openxmlformats.org/officeDocument/2006/custom-properties" xmlns:vt="http://schemas.openxmlformats.org/officeDocument/2006/docPropsVTypes"/>
</file>